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11E46EFA" w:rsidR="002C1220" w:rsidRPr="006A1EFD" w:rsidRDefault="005F10C3" w:rsidP="002C1220">
      <w:pPr>
        <w:pStyle w:val="Header"/>
        <w:tabs>
          <w:tab w:val="right" w:pos="9639"/>
        </w:tabs>
        <w:jc w:val="both"/>
        <w:rPr>
          <w:rFonts w:cs="Arial"/>
          <w:bCs/>
          <w:i/>
          <w:noProof w:val="0"/>
          <w:sz w:val="24"/>
          <w:szCs w:val="24"/>
        </w:rPr>
      </w:pPr>
      <w:bookmarkStart w:id="0" w:name="_Hlk519580081"/>
      <w:r w:rsidRPr="006A1EFD">
        <w:rPr>
          <w:rFonts w:cs="Arial"/>
          <w:bCs/>
          <w:noProof w:val="0"/>
          <w:sz w:val="24"/>
          <w:szCs w:val="24"/>
        </w:rPr>
        <w:t>3GPP TSG-RAN WG3 Meeting #1</w:t>
      </w:r>
      <w:r w:rsidR="006A213B" w:rsidRPr="006A1EFD">
        <w:rPr>
          <w:rFonts w:cs="Arial"/>
          <w:bCs/>
          <w:noProof w:val="0"/>
          <w:sz w:val="24"/>
          <w:szCs w:val="24"/>
        </w:rPr>
        <w:t>10</w:t>
      </w:r>
      <w:r w:rsidR="00044AC7" w:rsidRPr="006A1EFD">
        <w:rPr>
          <w:rFonts w:cs="Arial"/>
          <w:bCs/>
          <w:noProof w:val="0"/>
          <w:sz w:val="24"/>
          <w:szCs w:val="24"/>
        </w:rPr>
        <w:t>-e</w:t>
      </w:r>
      <w:r w:rsidR="002C1220" w:rsidRPr="006A1EFD">
        <w:rPr>
          <w:rFonts w:cs="Arial"/>
          <w:bCs/>
          <w:noProof w:val="0"/>
          <w:sz w:val="24"/>
          <w:szCs w:val="24"/>
        </w:rPr>
        <w:tab/>
        <w:t>R3-</w:t>
      </w:r>
      <w:r w:rsidR="00FA4A45" w:rsidRPr="006A1EFD">
        <w:rPr>
          <w:rFonts w:cs="Arial"/>
          <w:bCs/>
          <w:noProof w:val="0"/>
          <w:sz w:val="24"/>
          <w:szCs w:val="24"/>
        </w:rPr>
        <w:t>20</w:t>
      </w:r>
      <w:r w:rsidR="000C720B">
        <w:rPr>
          <w:rFonts w:cs="Arial"/>
          <w:bCs/>
          <w:noProof w:val="0"/>
          <w:sz w:val="24"/>
          <w:szCs w:val="24"/>
        </w:rPr>
        <w:t>5952</w:t>
      </w:r>
    </w:p>
    <w:bookmarkEnd w:id="0"/>
    <w:p w14:paraId="5669B020" w14:textId="31743CEA" w:rsidR="004C654E" w:rsidRPr="006A1EFD" w:rsidRDefault="00044AC7" w:rsidP="004C654E">
      <w:pPr>
        <w:pStyle w:val="Header"/>
        <w:tabs>
          <w:tab w:val="left" w:pos="2410"/>
        </w:tabs>
        <w:rPr>
          <w:rFonts w:eastAsia="MS Mincho" w:cs="Arial"/>
          <w:sz w:val="24"/>
          <w:szCs w:val="24"/>
        </w:rPr>
      </w:pPr>
      <w:r w:rsidRPr="006A1EFD">
        <w:rPr>
          <w:rFonts w:eastAsia="MS Mincho" w:cs="Arial"/>
          <w:sz w:val="24"/>
          <w:szCs w:val="24"/>
        </w:rPr>
        <w:t>E-meeting</w:t>
      </w:r>
      <w:r w:rsidR="00FC5FE8" w:rsidRPr="006A1EFD">
        <w:rPr>
          <w:rFonts w:eastAsia="MS Mincho" w:cs="Arial"/>
          <w:sz w:val="24"/>
          <w:szCs w:val="24"/>
        </w:rPr>
        <w:t xml:space="preserve">, </w:t>
      </w:r>
      <w:r w:rsidR="006A213B" w:rsidRPr="006A1EFD">
        <w:rPr>
          <w:rFonts w:eastAsia="MS Mincho" w:cs="Arial"/>
          <w:sz w:val="24"/>
          <w:szCs w:val="24"/>
        </w:rPr>
        <w:t>2</w:t>
      </w:r>
      <w:r w:rsidR="00FA4A45" w:rsidRPr="006A1EFD">
        <w:rPr>
          <w:rFonts w:eastAsia="MS Mincho" w:cs="Arial"/>
          <w:sz w:val="24"/>
          <w:szCs w:val="24"/>
        </w:rPr>
        <w:t>-</w:t>
      </w:r>
      <w:r w:rsidR="00F75748" w:rsidRPr="006A1EFD">
        <w:rPr>
          <w:rFonts w:eastAsia="MS Mincho" w:cs="Arial"/>
          <w:sz w:val="24"/>
          <w:szCs w:val="24"/>
        </w:rPr>
        <w:t>1</w:t>
      </w:r>
      <w:r w:rsidR="000C720B">
        <w:rPr>
          <w:rFonts w:eastAsia="MS Mincho" w:cs="Arial"/>
          <w:sz w:val="24"/>
          <w:szCs w:val="24"/>
        </w:rPr>
        <w:t>2</w:t>
      </w:r>
      <w:r w:rsidR="00FC5FE8" w:rsidRPr="006A1EFD">
        <w:rPr>
          <w:rFonts w:eastAsia="MS Mincho" w:cs="Arial"/>
          <w:sz w:val="24"/>
          <w:szCs w:val="24"/>
        </w:rPr>
        <w:t xml:space="preserve"> </w:t>
      </w:r>
      <w:r w:rsidR="006A213B" w:rsidRPr="006A1EFD">
        <w:rPr>
          <w:rFonts w:eastAsia="MS Mincho" w:cs="Arial"/>
          <w:sz w:val="24"/>
          <w:szCs w:val="24"/>
        </w:rPr>
        <w:t>Nov</w:t>
      </w:r>
      <w:r w:rsidR="005F10C3" w:rsidRPr="006A1EFD">
        <w:rPr>
          <w:rFonts w:eastAsia="MS Mincho" w:cs="Arial"/>
          <w:sz w:val="24"/>
          <w:szCs w:val="24"/>
        </w:rPr>
        <w:t xml:space="preserve"> 20</w:t>
      </w:r>
      <w:r w:rsidR="00FA4A45" w:rsidRPr="006A1EFD">
        <w:rPr>
          <w:rFonts w:eastAsia="MS Mincho" w:cs="Arial"/>
          <w:sz w:val="24"/>
          <w:szCs w:val="24"/>
        </w:rPr>
        <w:t>20</w:t>
      </w:r>
    </w:p>
    <w:p w14:paraId="2F96B0BD" w14:textId="77777777" w:rsidR="002F2360" w:rsidRPr="006A1EFD" w:rsidRDefault="002F2360" w:rsidP="002F2360">
      <w:pPr>
        <w:pStyle w:val="Header"/>
        <w:tabs>
          <w:tab w:val="left" w:pos="2410"/>
        </w:tabs>
        <w:rPr>
          <w:bCs/>
          <w:noProof w:val="0"/>
          <w:sz w:val="24"/>
        </w:rPr>
      </w:pPr>
    </w:p>
    <w:p w14:paraId="430718D4" w14:textId="5D71E4C4" w:rsidR="002F2360" w:rsidRPr="006A1EFD" w:rsidRDefault="002F2360" w:rsidP="002F2360">
      <w:pPr>
        <w:pStyle w:val="CRCoverPage"/>
        <w:tabs>
          <w:tab w:val="left" w:pos="1985"/>
          <w:tab w:val="left" w:pos="2410"/>
        </w:tabs>
        <w:rPr>
          <w:rFonts w:cs="Arial"/>
          <w:b/>
          <w:bCs/>
          <w:sz w:val="24"/>
          <w:lang w:eastAsia="ja-JP"/>
        </w:rPr>
      </w:pPr>
      <w:r w:rsidRPr="006A1EFD">
        <w:rPr>
          <w:rFonts w:cs="Arial"/>
          <w:b/>
          <w:bCs/>
          <w:sz w:val="24"/>
        </w:rPr>
        <w:t>Agenda item:</w:t>
      </w:r>
      <w:r w:rsidRPr="006A1EFD">
        <w:rPr>
          <w:rFonts w:cs="Arial"/>
          <w:b/>
          <w:bCs/>
          <w:sz w:val="24"/>
        </w:rPr>
        <w:tab/>
      </w:r>
      <w:r w:rsidR="000C720B">
        <w:rPr>
          <w:rFonts w:cs="Arial"/>
          <w:b/>
          <w:bCs/>
          <w:sz w:val="24"/>
        </w:rPr>
        <w:t>10.2.1.5</w:t>
      </w:r>
    </w:p>
    <w:p w14:paraId="02505283" w14:textId="77777777" w:rsidR="002F2360" w:rsidRPr="006A1EFD" w:rsidRDefault="002F2360" w:rsidP="002F2360">
      <w:pPr>
        <w:tabs>
          <w:tab w:val="left" w:pos="1985"/>
          <w:tab w:val="left" w:pos="2410"/>
        </w:tabs>
        <w:ind w:left="1985" w:hanging="1985"/>
        <w:rPr>
          <w:rFonts w:ascii="Arial" w:hAnsi="Arial" w:cs="Arial"/>
          <w:b/>
          <w:bCs/>
          <w:sz w:val="24"/>
        </w:rPr>
      </w:pPr>
      <w:r w:rsidRPr="006A1EFD">
        <w:rPr>
          <w:rFonts w:ascii="Arial" w:hAnsi="Arial" w:cs="Arial"/>
          <w:b/>
          <w:bCs/>
          <w:sz w:val="24"/>
        </w:rPr>
        <w:t>Source:</w:t>
      </w:r>
      <w:r w:rsidRPr="006A1EFD">
        <w:rPr>
          <w:rFonts w:ascii="Arial" w:hAnsi="Arial" w:cs="Arial"/>
          <w:b/>
          <w:bCs/>
          <w:sz w:val="24"/>
        </w:rPr>
        <w:tab/>
        <w:t xml:space="preserve">Nokia, </w:t>
      </w:r>
      <w:r w:rsidRPr="006A1EFD">
        <w:rPr>
          <w:rFonts w:ascii="Arial" w:hAnsi="Arial" w:cs="Arial"/>
          <w:b/>
          <w:bCs/>
          <w:sz w:val="24"/>
          <w:lang w:eastAsia="ja-JP"/>
        </w:rPr>
        <w:t xml:space="preserve">Nokia </w:t>
      </w:r>
      <w:r w:rsidRPr="006A1EFD">
        <w:rPr>
          <w:rFonts w:ascii="Arial" w:hAnsi="Arial" w:cs="Arial"/>
          <w:b/>
          <w:bCs/>
          <w:sz w:val="24"/>
        </w:rPr>
        <w:t>Shanghai Bell</w:t>
      </w:r>
    </w:p>
    <w:p w14:paraId="5E7A28BB" w14:textId="054C5379" w:rsidR="00CD4C7B" w:rsidRPr="006A1EFD" w:rsidRDefault="00CD4C7B" w:rsidP="00EE13A8">
      <w:pPr>
        <w:tabs>
          <w:tab w:val="left" w:pos="2410"/>
        </w:tabs>
        <w:ind w:left="1985" w:hanging="1985"/>
        <w:rPr>
          <w:rFonts w:ascii="Arial" w:hAnsi="Arial" w:cs="Arial"/>
          <w:b/>
          <w:bCs/>
          <w:sz w:val="24"/>
        </w:rPr>
      </w:pPr>
      <w:r w:rsidRPr="006A1EFD">
        <w:rPr>
          <w:rFonts w:ascii="Arial" w:hAnsi="Arial" w:cs="Arial"/>
          <w:b/>
          <w:bCs/>
          <w:sz w:val="24"/>
        </w:rPr>
        <w:t>Title:</w:t>
      </w:r>
      <w:r w:rsidRPr="006A1EFD">
        <w:rPr>
          <w:rFonts w:ascii="Arial" w:hAnsi="Arial" w:cs="Arial"/>
          <w:b/>
          <w:bCs/>
          <w:sz w:val="24"/>
        </w:rPr>
        <w:tab/>
      </w:r>
      <w:r w:rsidR="006A1EFD" w:rsidRPr="006A1EFD">
        <w:rPr>
          <w:rFonts w:ascii="Arial" w:hAnsi="Arial" w:cs="Arial"/>
          <w:b/>
          <w:bCs/>
          <w:sz w:val="24"/>
        </w:rPr>
        <w:t>Load information enhancements</w:t>
      </w:r>
    </w:p>
    <w:p w14:paraId="0F79702C" w14:textId="0AE6489D" w:rsidR="00CD4C7B" w:rsidRPr="006A1EFD" w:rsidRDefault="00CD4C7B" w:rsidP="00EE13A8">
      <w:pPr>
        <w:tabs>
          <w:tab w:val="left" w:pos="1985"/>
          <w:tab w:val="left" w:pos="2410"/>
        </w:tabs>
        <w:rPr>
          <w:rFonts w:ascii="Arial" w:hAnsi="Arial" w:cs="Arial"/>
          <w:b/>
          <w:bCs/>
          <w:sz w:val="24"/>
        </w:rPr>
      </w:pPr>
      <w:r w:rsidRPr="006A1EFD">
        <w:rPr>
          <w:rFonts w:ascii="Arial" w:hAnsi="Arial" w:cs="Arial"/>
          <w:b/>
          <w:bCs/>
          <w:sz w:val="24"/>
        </w:rPr>
        <w:t>Document for:</w:t>
      </w:r>
      <w:r w:rsidRPr="006A1EFD">
        <w:rPr>
          <w:rFonts w:ascii="Arial" w:hAnsi="Arial" w:cs="Arial"/>
          <w:b/>
          <w:bCs/>
          <w:sz w:val="24"/>
        </w:rPr>
        <w:tab/>
        <w:t>Discussion</w:t>
      </w:r>
    </w:p>
    <w:p w14:paraId="3F7C60B7" w14:textId="77777777" w:rsidR="00AB30AE" w:rsidRPr="006A1EFD" w:rsidRDefault="00AB30AE" w:rsidP="00EE13A8">
      <w:pPr>
        <w:tabs>
          <w:tab w:val="left" w:pos="1985"/>
          <w:tab w:val="left" w:pos="2410"/>
        </w:tabs>
        <w:rPr>
          <w:rFonts w:ascii="Arial" w:hAnsi="Arial" w:cs="Arial"/>
          <w:bCs/>
          <w:sz w:val="24"/>
        </w:rPr>
      </w:pPr>
    </w:p>
    <w:p w14:paraId="40D0F11F" w14:textId="3CF2C848" w:rsidR="00CD4C7B" w:rsidRPr="006A1EFD" w:rsidRDefault="00CD4C7B" w:rsidP="00EE13A8">
      <w:pPr>
        <w:pStyle w:val="Heading1"/>
        <w:tabs>
          <w:tab w:val="left" w:pos="2410"/>
        </w:tabs>
      </w:pPr>
      <w:r w:rsidRPr="006A1EFD">
        <w:t>1</w:t>
      </w:r>
      <w:r w:rsidRPr="006A1EFD">
        <w:tab/>
      </w:r>
      <w:r w:rsidR="0056573F" w:rsidRPr="006A1EFD">
        <w:t>Introduction</w:t>
      </w:r>
    </w:p>
    <w:p w14:paraId="4CAD8B08" w14:textId="3B5D6F08" w:rsidR="005E3D0F" w:rsidRPr="006A1EFD" w:rsidRDefault="006A1EFD" w:rsidP="008572DC">
      <w:bookmarkStart w:id="1" w:name="_Toc474247438"/>
      <w:r w:rsidRPr="006A1EFD">
        <w:t>At RAN3 #109, multiple proposals for load information enhancements or corrections were made. In this paper, we summarise proposals that we consider the most important or interesting</w:t>
      </w:r>
      <w:r w:rsidR="000C720B">
        <w:t xml:space="preserve"> and add some new ones</w:t>
      </w:r>
      <w:r w:rsidRPr="006A1EFD">
        <w:t>.</w:t>
      </w:r>
    </w:p>
    <w:p w14:paraId="309917E7" w14:textId="77777777" w:rsidR="00051152" w:rsidRPr="006A1EFD" w:rsidRDefault="00BE5235" w:rsidP="00051152">
      <w:pPr>
        <w:pStyle w:val="Heading1"/>
        <w:tabs>
          <w:tab w:val="left" w:pos="2410"/>
        </w:tabs>
      </w:pPr>
      <w:r w:rsidRPr="006A1EFD">
        <w:t>2</w:t>
      </w:r>
      <w:r w:rsidR="00051152" w:rsidRPr="006A1EFD">
        <w:tab/>
      </w:r>
      <w:r w:rsidRPr="006A1EFD">
        <w:t>Discussion</w:t>
      </w:r>
    </w:p>
    <w:bookmarkEnd w:id="1"/>
    <w:p w14:paraId="7DF3CC4F" w14:textId="07E1B770" w:rsidR="000F04AF" w:rsidRDefault="000F04AF" w:rsidP="000F04AF">
      <w:pPr>
        <w:pStyle w:val="Heading2"/>
      </w:pPr>
      <w:r>
        <w:t>2.1</w:t>
      </w:r>
      <w:r>
        <w:tab/>
      </w:r>
      <w:r w:rsidR="00C62265">
        <w:t>L</w:t>
      </w:r>
      <w:r>
        <w:t xml:space="preserve">oad </w:t>
      </w:r>
      <w:r w:rsidR="00C62265">
        <w:t xml:space="preserve">information </w:t>
      </w:r>
      <w:r>
        <w:t>per slice</w:t>
      </w:r>
    </w:p>
    <w:p w14:paraId="4074DBE3" w14:textId="0715925C" w:rsidR="000F04AF" w:rsidRDefault="00C62265" w:rsidP="00AA4AF2">
      <w:r>
        <w:t>This problem was originally presented in [1].</w:t>
      </w:r>
    </w:p>
    <w:p w14:paraId="620A53C2" w14:textId="77777777" w:rsidR="00C62265" w:rsidRDefault="00C62265" w:rsidP="00C62265">
      <w:r>
        <w:t xml:space="preserve">In Release 15, overload indications have been introduced between RAN nodes. However, these indications are limited to describing whether the whole node is on overload level or not and lack the detail on whether the condition is specific to certain slice(s). In contrast, periodic reports over F1 have introduced per slice details as part of the Rel. 16 SON MDT WI. This results in a gap between the event triggered (overload indication) and periodic (load) reports. </w:t>
      </w:r>
    </w:p>
    <w:p w14:paraId="413C2EBD" w14:textId="77777777" w:rsidR="00C62265" w:rsidRDefault="00C62265" w:rsidP="00C62265">
      <w:r>
        <w:t>This also creates ambiguity as to what should trigger a node to consider itself as being overloaded. Additionally, if periodic load reports between nodes have not been configured, the gNB-CU(-CP) will never become aware of whether the issue should affect only certain services/slices or whether all traffic should be avoided towards the gNB-DU/gNB-CU-UP nodes.</w:t>
      </w:r>
    </w:p>
    <w:p w14:paraId="3CD9ECC4" w14:textId="77777777" w:rsidR="00C62265" w:rsidRDefault="00C62265" w:rsidP="00C62265">
      <w:r>
        <w:t>Current event triggered overload indications as of Rel.16 are as follows:</w:t>
      </w:r>
    </w:p>
    <w:p w14:paraId="0F5CE875" w14:textId="77777777" w:rsidR="00C62265" w:rsidRDefault="00C62265" w:rsidP="00C62265">
      <w:pPr>
        <w:pStyle w:val="00BodyText"/>
        <w:numPr>
          <w:ilvl w:val="0"/>
          <w:numId w:val="38"/>
        </w:numPr>
        <w:spacing w:after="0"/>
        <w:rPr>
          <w:rFonts w:ascii="Times New Roman" w:hAnsi="Times New Roman"/>
          <w:sz w:val="20"/>
          <w:lang w:val="en-GB"/>
        </w:rPr>
      </w:pPr>
      <w:r>
        <w:rPr>
          <w:rFonts w:ascii="Times New Roman" w:hAnsi="Times New Roman"/>
          <w:sz w:val="20"/>
          <w:lang w:val="en-GB"/>
        </w:rPr>
        <w:t>F1AP: GNB-DU STATUS INDICATION from gNB-DU to gNB-CU</w:t>
      </w:r>
    </w:p>
    <w:p w14:paraId="7A4E8E64" w14:textId="77777777" w:rsidR="00C62265" w:rsidRDefault="00C62265" w:rsidP="00C62265">
      <w:pPr>
        <w:pStyle w:val="00BodyText"/>
        <w:numPr>
          <w:ilvl w:val="1"/>
          <w:numId w:val="38"/>
        </w:numPr>
        <w:spacing w:after="0"/>
        <w:rPr>
          <w:rFonts w:ascii="Times New Roman" w:hAnsi="Times New Roman"/>
          <w:sz w:val="20"/>
          <w:lang w:val="en-GB"/>
        </w:rPr>
      </w:pPr>
      <w:r w:rsidRPr="006C0926">
        <w:rPr>
          <w:rFonts w:ascii="Times New Roman" w:hAnsi="Times New Roman"/>
          <w:i/>
          <w:iCs/>
          <w:sz w:val="20"/>
          <w:lang w:val="en-GB"/>
        </w:rPr>
        <w:t>gNB-DU Overload Information</w:t>
      </w:r>
      <w:r w:rsidRPr="006C0926">
        <w:rPr>
          <w:rFonts w:ascii="Times New Roman" w:hAnsi="Times New Roman"/>
          <w:sz w:val="20"/>
          <w:lang w:val="en-GB"/>
        </w:rPr>
        <w:t xml:space="preserve"> </w:t>
      </w:r>
      <w:r>
        <w:rPr>
          <w:rFonts w:ascii="Times New Roman" w:hAnsi="Times New Roman"/>
          <w:sz w:val="20"/>
          <w:lang w:val="en-GB"/>
        </w:rPr>
        <w:t xml:space="preserve">IE (overloaded, not-overloaded) </w:t>
      </w:r>
    </w:p>
    <w:p w14:paraId="32B993E1" w14:textId="77777777" w:rsidR="00C62265" w:rsidRDefault="00C62265" w:rsidP="00C62265">
      <w:pPr>
        <w:pStyle w:val="00BodyText"/>
        <w:numPr>
          <w:ilvl w:val="0"/>
          <w:numId w:val="38"/>
        </w:numPr>
        <w:spacing w:after="0"/>
        <w:rPr>
          <w:rFonts w:ascii="Times New Roman" w:hAnsi="Times New Roman"/>
          <w:sz w:val="20"/>
          <w:lang w:val="en-GB"/>
        </w:rPr>
      </w:pPr>
      <w:r>
        <w:rPr>
          <w:rFonts w:ascii="Times New Roman" w:hAnsi="Times New Roman"/>
          <w:sz w:val="20"/>
          <w:lang w:val="en-GB"/>
        </w:rPr>
        <w:t>E1AP: GNB-CU-UP STATUS INDICATION from gNB-CU-UP to gNB-CU-CP</w:t>
      </w:r>
    </w:p>
    <w:p w14:paraId="146AFAD4" w14:textId="77777777" w:rsidR="00C62265" w:rsidRDefault="00C62265" w:rsidP="00C62265">
      <w:pPr>
        <w:pStyle w:val="00BodyText"/>
        <w:numPr>
          <w:ilvl w:val="1"/>
          <w:numId w:val="38"/>
        </w:numPr>
        <w:spacing w:after="0"/>
        <w:rPr>
          <w:rFonts w:ascii="Times New Roman" w:hAnsi="Times New Roman"/>
          <w:sz w:val="20"/>
          <w:lang w:val="en-GB"/>
        </w:rPr>
      </w:pPr>
      <w:r w:rsidRPr="0022114E">
        <w:rPr>
          <w:rFonts w:ascii="Times New Roman" w:hAnsi="Times New Roman"/>
          <w:i/>
          <w:iCs/>
          <w:sz w:val="20"/>
          <w:lang w:val="en-GB"/>
        </w:rPr>
        <w:t>gNB-CU-UP Overload Information</w:t>
      </w:r>
      <w:r>
        <w:rPr>
          <w:rFonts w:ascii="Times New Roman" w:hAnsi="Times New Roman"/>
          <w:sz w:val="20"/>
          <w:lang w:val="en-GB"/>
        </w:rPr>
        <w:t xml:space="preserve"> IE (overloaded, not-overloaded)</w:t>
      </w:r>
    </w:p>
    <w:p w14:paraId="6725538E" w14:textId="77777777" w:rsidR="00C62265" w:rsidRDefault="00C62265" w:rsidP="00C62265"/>
    <w:p w14:paraId="1E0365CD" w14:textId="77777777" w:rsidR="00C62265" w:rsidRDefault="00C62265" w:rsidP="00C62265">
      <w:r>
        <w:t>For F1AP case, a gNB-DU may comprise of many cells, with resources allocated for specific slices. It will not be unusual for cases in which resources are available only for certain slices and exhausted in others (i.e. only some slices are overloaded). Hence, the gNB-DU should have the capability to provide an event triggered overload indication on slice level also in case periodic reports have not been setup. For E1AP cases, a similar situation can occur, since resources at a gNB-CU-UP may have been exhausted only for certain slices, but still be available for others.</w:t>
      </w:r>
    </w:p>
    <w:p w14:paraId="03651C94" w14:textId="6A449C44" w:rsidR="00C62265" w:rsidRPr="00916A06" w:rsidRDefault="00C62265" w:rsidP="00C62265">
      <w:pPr>
        <w:rPr>
          <w:b/>
        </w:rPr>
      </w:pPr>
      <w:r w:rsidRPr="00916A06">
        <w:rPr>
          <w:b/>
        </w:rPr>
        <w:t>Proposal</w:t>
      </w:r>
      <w:r>
        <w:rPr>
          <w:b/>
        </w:rPr>
        <w:t xml:space="preserve"> 1-1</w:t>
      </w:r>
      <w:r w:rsidRPr="00916A06">
        <w:rPr>
          <w:b/>
        </w:rPr>
        <w:t>: Extend the F1AP: GNB-DU STATUS INDICATION and E1AP: GNB-CU-UP STATUS INDICATION messages to provide information per slice.</w:t>
      </w:r>
    </w:p>
    <w:p w14:paraId="31ADF0C4" w14:textId="77777777" w:rsidR="00C62265" w:rsidRDefault="00C62265" w:rsidP="00C62265">
      <w:r>
        <w:t>Slice-related information will also be useful in case of the periodic reporting. The most relevant is the per slice Radio Resource Status on F1 interface.</w:t>
      </w:r>
    </w:p>
    <w:p w14:paraId="78FA691D" w14:textId="44E00A81" w:rsidR="00C62265" w:rsidRPr="00BA3523" w:rsidRDefault="00C62265" w:rsidP="00C62265">
      <w:pPr>
        <w:rPr>
          <w:lang w:val="en-US"/>
        </w:rPr>
      </w:pPr>
      <w:r>
        <w:t>The</w:t>
      </w:r>
      <w:r w:rsidRPr="00BA3523">
        <w:t xml:space="preserve"> radio resource metric </w:t>
      </w:r>
      <w:r>
        <w:t>is</w:t>
      </w:r>
      <w:r w:rsidRPr="00BA3523">
        <w:t xml:space="preserve"> reported per </w:t>
      </w:r>
      <w:r>
        <w:t>cell</w:t>
      </w:r>
      <w:r w:rsidRPr="00BA3523">
        <w:t xml:space="preserve"> on F1. However, if this information is </w:t>
      </w:r>
      <w:r w:rsidR="00DE60C8">
        <w:t xml:space="preserve">to be </w:t>
      </w:r>
      <w:bookmarkStart w:id="2" w:name="_GoBack"/>
      <w:bookmarkEnd w:id="2"/>
      <w:r w:rsidRPr="00BA3523">
        <w:t xml:space="preserve">used by the gNB-CU-CP to anticipate on the admission control outcome within the gNB-DU, knowledge of the corresponding per slice quotas are also needed. Enabling the CU-CP to anticipate on the access control outcome in the DU and will avoid time- and </w:t>
      </w:r>
      <w:r w:rsidRPr="00BA3523">
        <w:lastRenderedPageBreak/>
        <w:t>processing consuming signalling in high load scenarios.</w:t>
      </w:r>
      <w:r>
        <w:t xml:space="preserve"> Therefore, a new </w:t>
      </w:r>
      <w:r w:rsidRPr="00C06796">
        <w:rPr>
          <w:i/>
          <w:iCs/>
          <w:lang w:val="en-US"/>
        </w:rPr>
        <w:t>Radio</w:t>
      </w:r>
      <w:r w:rsidRPr="00C06796">
        <w:rPr>
          <w:lang w:val="en-US"/>
        </w:rPr>
        <w:t xml:space="preserve"> </w:t>
      </w:r>
      <w:r w:rsidRPr="00C06796">
        <w:rPr>
          <w:i/>
          <w:iCs/>
          <w:lang w:val="en-US"/>
        </w:rPr>
        <w:t>Resource Status</w:t>
      </w:r>
      <w:r w:rsidRPr="00C06796">
        <w:rPr>
          <w:lang w:val="en-US"/>
        </w:rPr>
        <w:t xml:space="preserve"> IE</w:t>
      </w:r>
      <w:r>
        <w:rPr>
          <w:lang w:val="en-US"/>
        </w:rPr>
        <w:t xml:space="preserve"> is needed where the radio resources are signaled per slice.</w:t>
      </w:r>
    </w:p>
    <w:p w14:paraId="399F7C8A" w14:textId="395CD7F9" w:rsidR="00C62265" w:rsidRPr="00C06796" w:rsidRDefault="00C62265" w:rsidP="00C62265">
      <w:pPr>
        <w:rPr>
          <w:b/>
          <w:bCs/>
        </w:rPr>
      </w:pPr>
      <w:r w:rsidRPr="00C06796">
        <w:rPr>
          <w:b/>
          <w:bCs/>
        </w:rPr>
        <w:t xml:space="preserve">Proposal </w:t>
      </w:r>
      <w:r>
        <w:rPr>
          <w:b/>
          <w:bCs/>
        </w:rPr>
        <w:t>1-</w:t>
      </w:r>
      <w:r w:rsidRPr="00C06796">
        <w:rPr>
          <w:b/>
          <w:bCs/>
        </w:rPr>
        <w:t xml:space="preserve">2: </w:t>
      </w:r>
      <w:r>
        <w:rPr>
          <w:b/>
          <w:bCs/>
        </w:rPr>
        <w:t xml:space="preserve">Per-slice </w:t>
      </w:r>
      <w:r w:rsidRPr="00C06796">
        <w:rPr>
          <w:b/>
          <w:bCs/>
        </w:rPr>
        <w:t>radio resources</w:t>
      </w:r>
      <w:r>
        <w:rPr>
          <w:b/>
          <w:bCs/>
        </w:rPr>
        <w:t xml:space="preserve"> are reported, if slice information is requested</w:t>
      </w:r>
      <w:r w:rsidRPr="00C06796">
        <w:rPr>
          <w:b/>
          <w:bCs/>
        </w:rPr>
        <w:t>.</w:t>
      </w:r>
    </w:p>
    <w:p w14:paraId="36798F7A" w14:textId="77777777" w:rsidR="00C62265" w:rsidRPr="001C7106" w:rsidRDefault="00C62265" w:rsidP="00C62265">
      <w:r>
        <w:t xml:space="preserve">Another option is </w:t>
      </w:r>
      <w:r w:rsidRPr="001C7106">
        <w:t xml:space="preserve">adding the slice information to the Rel-16 </w:t>
      </w:r>
      <w:r w:rsidRPr="001C7106">
        <w:rPr>
          <w:i/>
          <w:iCs/>
        </w:rPr>
        <w:t>TNL Capacity Indicator</w:t>
      </w:r>
      <w:r w:rsidRPr="001C7106">
        <w:t xml:space="preserve"> IE </w:t>
      </w:r>
      <w:r>
        <w:t xml:space="preserve">on F1 and E1 </w:t>
      </w:r>
      <w:r w:rsidRPr="001C7106">
        <w:t>(or the IE to higher-layer slice info). The offered capacity would then correspond to the slice capacity.</w:t>
      </w:r>
    </w:p>
    <w:p w14:paraId="708210E3" w14:textId="7946EB9F" w:rsidR="00C62265" w:rsidRDefault="00C62265" w:rsidP="00C62265">
      <w:pPr>
        <w:rPr>
          <w:b/>
          <w:bCs/>
        </w:rPr>
      </w:pPr>
      <w:r w:rsidRPr="001C7106">
        <w:rPr>
          <w:b/>
        </w:rPr>
        <w:t xml:space="preserve">Proposal </w:t>
      </w:r>
      <w:r>
        <w:rPr>
          <w:b/>
        </w:rPr>
        <w:t>1-</w:t>
      </w:r>
      <w:r w:rsidRPr="001C7106">
        <w:rPr>
          <w:b/>
        </w:rPr>
        <w:t>3:</w:t>
      </w:r>
      <w:r>
        <w:t xml:space="preserve"> </w:t>
      </w:r>
      <w:r>
        <w:rPr>
          <w:b/>
          <w:bCs/>
        </w:rPr>
        <w:t>RAN3 to discuss if s</w:t>
      </w:r>
      <w:r w:rsidRPr="00C06796">
        <w:rPr>
          <w:b/>
          <w:bCs/>
        </w:rPr>
        <w:t xml:space="preserve">lice information </w:t>
      </w:r>
      <w:r>
        <w:rPr>
          <w:b/>
          <w:bCs/>
        </w:rPr>
        <w:t>could</w:t>
      </w:r>
      <w:r w:rsidRPr="00C06796">
        <w:rPr>
          <w:b/>
          <w:bCs/>
        </w:rPr>
        <w:t xml:space="preserve"> also be added to the periodic reporting of the TNL capacity</w:t>
      </w:r>
      <w:r>
        <w:rPr>
          <w:b/>
          <w:bCs/>
        </w:rPr>
        <w:t>.</w:t>
      </w:r>
    </w:p>
    <w:p w14:paraId="30CA2BD9" w14:textId="0561F731" w:rsidR="00C62265" w:rsidRDefault="008B3641" w:rsidP="008B3641">
      <w:pPr>
        <w:pStyle w:val="Heading2"/>
      </w:pPr>
      <w:r>
        <w:t>2.2</w:t>
      </w:r>
      <w:r>
        <w:tab/>
        <w:t>Further clarification of TNL load information</w:t>
      </w:r>
    </w:p>
    <w:p w14:paraId="6AEB301F" w14:textId="77777777" w:rsidR="000C720B" w:rsidRDefault="009A66E5" w:rsidP="00C62265">
      <w:r>
        <w:t>This problem was originally proposed in [2] and partially resolved in [3] and [4].</w:t>
      </w:r>
      <w:r w:rsidR="0034739F">
        <w:t xml:space="preserve"> </w:t>
      </w:r>
    </w:p>
    <w:p w14:paraId="0C14FFED" w14:textId="0A794F7D" w:rsidR="0034739F" w:rsidRDefault="0034739F" w:rsidP="00C62265">
      <w:r>
        <w:t>The agreed text clarifies that the signalled TNL load shall represent the lowest capacity available for the cell. However, it is still confusing – “the lowest” suggests there are multiple values available and the lowest one shall be signalled. To clarify that, the list of relevant interfaces shall be added, as proposed originally.</w:t>
      </w:r>
    </w:p>
    <w:p w14:paraId="196E90BD" w14:textId="56958C62" w:rsidR="0034739F" w:rsidRPr="0034739F" w:rsidRDefault="0034739F" w:rsidP="00C62265">
      <w:pPr>
        <w:rPr>
          <w:b/>
          <w:bCs/>
        </w:rPr>
      </w:pPr>
      <w:r w:rsidRPr="0034739F">
        <w:rPr>
          <w:b/>
          <w:bCs/>
        </w:rPr>
        <w:t>Proposal 2-1: In order to clarify what “the lowest” is to be selected from, the list of relevant interfaces shall be added to the sentence added at RAN3 #109.</w:t>
      </w:r>
    </w:p>
    <w:p w14:paraId="42377B9F" w14:textId="5598414F" w:rsidR="0034739F" w:rsidRDefault="008B0EB8" w:rsidP="008B0EB8">
      <w:pPr>
        <w:pStyle w:val="Heading2"/>
      </w:pPr>
      <w:r>
        <w:t>2.3</w:t>
      </w:r>
      <w:r>
        <w:tab/>
        <w:t>Load information from NR-U</w:t>
      </w:r>
    </w:p>
    <w:p w14:paraId="4D0E461F" w14:textId="6D6843B1" w:rsidR="008B0EB8" w:rsidRDefault="009E5B34" w:rsidP="00C62265">
      <w:pPr>
        <w:rPr>
          <w:lang w:val="en-US"/>
        </w:rPr>
      </w:pPr>
      <w:r w:rsidRPr="009E5B34">
        <w:rPr>
          <w:lang w:val="en-US"/>
        </w:rPr>
        <w:t xml:space="preserve">NR-U was introduced in NR specification in Rel-16, with the NR  WI “NR-based Access to Unlicensed Spectrum” (RP-1912926). In Rel-16, the SON WI (“SON/MDT support for NR”, RP-191776) introduced load report on some network interfaces. </w:t>
      </w:r>
      <w:r>
        <w:rPr>
          <w:lang w:val="en-US"/>
        </w:rPr>
        <w:t>L</w:t>
      </w:r>
      <w:r w:rsidRPr="009E5B34">
        <w:rPr>
          <w:lang w:val="en-US"/>
        </w:rPr>
        <w:t>oad reporting to unsilenced spectrum</w:t>
      </w:r>
      <w:r>
        <w:rPr>
          <w:lang w:val="en-US"/>
        </w:rPr>
        <w:t xml:space="preserve"> has not been considered then though</w:t>
      </w:r>
      <w:r w:rsidRPr="009E5B34">
        <w:rPr>
          <w:lang w:val="en-US"/>
        </w:rPr>
        <w:t>.</w:t>
      </w:r>
    </w:p>
    <w:p w14:paraId="3F7BF8CE" w14:textId="77777777" w:rsidR="007108E3" w:rsidRPr="007108E3" w:rsidRDefault="007108E3" w:rsidP="007108E3">
      <w:pPr>
        <w:rPr>
          <w:lang w:val="en-US"/>
        </w:rPr>
      </w:pPr>
      <w:r w:rsidRPr="007108E3">
        <w:rPr>
          <w:lang w:val="en-US"/>
        </w:rPr>
        <w:t xml:space="preserve">In the unlicensed spectrum where NRU is standardized, the UE or the gNB would transmit data only if the considered channel is “free”. This is evaluated by measuring the RSSI of the channel. It would be considered as “free”, if received RSSI if the channel is below a given threshold. This is described in MAC Specification (38.321) and 37.213 </w:t>
      </w:r>
    </w:p>
    <w:p w14:paraId="5DDD4D7C" w14:textId="77777777" w:rsidR="007108E3" w:rsidRPr="007108E3" w:rsidRDefault="007108E3" w:rsidP="007108E3">
      <w:pPr>
        <w:rPr>
          <w:lang w:val="en-US"/>
        </w:rPr>
      </w:pPr>
      <w:r w:rsidRPr="007108E3">
        <w:rPr>
          <w:lang w:val="en-US"/>
        </w:rPr>
        <w:t xml:space="preserve">It would make sense to signal this load and we propose that the channel status time can be split into 3 categories: </w:t>
      </w:r>
    </w:p>
    <w:p w14:paraId="2845F89A" w14:textId="1E76D997" w:rsidR="007108E3" w:rsidRPr="007108E3" w:rsidRDefault="007108E3" w:rsidP="007108E3">
      <w:pPr>
        <w:pStyle w:val="ListParagraph"/>
        <w:numPr>
          <w:ilvl w:val="0"/>
          <w:numId w:val="39"/>
        </w:numPr>
      </w:pPr>
      <w:r w:rsidRPr="007108E3">
        <w:t xml:space="preserve">The channel is free i.e. the measured RSSI by the Cell is below the threshold </w:t>
      </w:r>
    </w:p>
    <w:p w14:paraId="1AD8486B" w14:textId="508638D7" w:rsidR="007108E3" w:rsidRPr="007108E3" w:rsidRDefault="007108E3" w:rsidP="007108E3">
      <w:pPr>
        <w:pStyle w:val="ListParagraph"/>
        <w:numPr>
          <w:ilvl w:val="0"/>
          <w:numId w:val="39"/>
        </w:numPr>
      </w:pPr>
      <w:r w:rsidRPr="007108E3">
        <w:t xml:space="preserve">The channel is used by the Node or one of the served UE: during this time, the Cell or a served UE is transmitting. This can be UL or DL. </w:t>
      </w:r>
    </w:p>
    <w:p w14:paraId="34B815FC" w14:textId="483F78C8" w:rsidR="007108E3" w:rsidRPr="007108E3" w:rsidRDefault="007108E3" w:rsidP="007108E3">
      <w:pPr>
        <w:pStyle w:val="ListParagraph"/>
        <w:numPr>
          <w:ilvl w:val="0"/>
          <w:numId w:val="39"/>
        </w:numPr>
      </w:pPr>
      <w:r w:rsidRPr="007108E3">
        <w:t xml:space="preserve">The channel is used by </w:t>
      </w:r>
      <w:proofErr w:type="spellStart"/>
      <w:r w:rsidRPr="007108E3">
        <w:t>neighbour</w:t>
      </w:r>
      <w:proofErr w:type="spellEnd"/>
      <w:r w:rsidRPr="007108E3">
        <w:t xml:space="preserve"> UE or Node, </w:t>
      </w:r>
      <w:proofErr w:type="spellStart"/>
      <w:r w:rsidRPr="007108E3">
        <w:t>ie</w:t>
      </w:r>
      <w:proofErr w:type="spellEnd"/>
      <w:r w:rsidRPr="007108E3">
        <w:t xml:space="preserve"> the measured RSSI is above the threshold. </w:t>
      </w:r>
    </w:p>
    <w:p w14:paraId="736C54F3" w14:textId="77777777" w:rsidR="007108E3" w:rsidRPr="007108E3" w:rsidRDefault="007108E3" w:rsidP="007108E3">
      <w:pPr>
        <w:rPr>
          <w:lang w:val="en-US"/>
        </w:rPr>
      </w:pPr>
      <w:r w:rsidRPr="007108E3">
        <w:rPr>
          <w:lang w:val="en-US"/>
        </w:rPr>
        <w:t xml:space="preserve">If we name the percentage of time T1, T2 and T3, we will have T1+T2+T3=100%. As a consequence, only 2 of the parameters need to be </w:t>
      </w:r>
      <w:proofErr w:type="spellStart"/>
      <w:r w:rsidRPr="007108E3">
        <w:rPr>
          <w:lang w:val="en-US"/>
        </w:rPr>
        <w:t>signalled</w:t>
      </w:r>
      <w:proofErr w:type="spellEnd"/>
      <w:r w:rsidRPr="007108E3">
        <w:rPr>
          <w:lang w:val="en-US"/>
        </w:rPr>
        <w:t xml:space="preserve"> </w:t>
      </w:r>
    </w:p>
    <w:p w14:paraId="15D58DF8" w14:textId="515D4F2E" w:rsidR="007108E3" w:rsidRPr="007108E3" w:rsidRDefault="007108E3" w:rsidP="007108E3">
      <w:pPr>
        <w:rPr>
          <w:b/>
          <w:bCs/>
          <w:lang w:val="en-US"/>
        </w:rPr>
      </w:pPr>
      <w:r w:rsidRPr="007108E3">
        <w:rPr>
          <w:b/>
          <w:bCs/>
          <w:lang w:val="en-US"/>
        </w:rPr>
        <w:t xml:space="preserve">Proposal </w:t>
      </w:r>
      <w:r>
        <w:rPr>
          <w:b/>
          <w:bCs/>
          <w:lang w:val="en-US"/>
        </w:rPr>
        <w:t>3-</w:t>
      </w:r>
      <w:r w:rsidRPr="007108E3">
        <w:rPr>
          <w:b/>
          <w:bCs/>
          <w:lang w:val="en-US"/>
        </w:rPr>
        <w:t xml:space="preserve">1: The Load of unlicensed spectrum is </w:t>
      </w:r>
      <w:proofErr w:type="spellStart"/>
      <w:r w:rsidRPr="007108E3">
        <w:rPr>
          <w:b/>
          <w:bCs/>
          <w:lang w:val="en-US"/>
        </w:rPr>
        <w:t>signalled</w:t>
      </w:r>
      <w:proofErr w:type="spellEnd"/>
      <w:r w:rsidRPr="007108E3">
        <w:rPr>
          <w:b/>
          <w:bCs/>
          <w:lang w:val="en-US"/>
        </w:rPr>
        <w:t xml:space="preserve"> over F1 and </w:t>
      </w:r>
      <w:proofErr w:type="spellStart"/>
      <w:r w:rsidRPr="007108E3">
        <w:rPr>
          <w:b/>
          <w:bCs/>
          <w:lang w:val="en-US"/>
        </w:rPr>
        <w:t>Xn</w:t>
      </w:r>
      <w:proofErr w:type="spellEnd"/>
      <w:r w:rsidRPr="007108E3">
        <w:rPr>
          <w:b/>
          <w:bCs/>
          <w:lang w:val="en-US"/>
        </w:rPr>
        <w:t xml:space="preserve"> interface. </w:t>
      </w:r>
    </w:p>
    <w:p w14:paraId="67F760FD" w14:textId="77777777" w:rsidR="007108E3" w:rsidRPr="007108E3" w:rsidRDefault="007108E3" w:rsidP="007108E3">
      <w:pPr>
        <w:rPr>
          <w:lang w:val="en-US"/>
        </w:rPr>
      </w:pPr>
      <w:r w:rsidRPr="007108E3">
        <w:rPr>
          <w:lang w:val="en-US"/>
        </w:rPr>
        <w:t xml:space="preserve">With this information, gNB-CU and </w:t>
      </w:r>
      <w:proofErr w:type="spellStart"/>
      <w:r w:rsidRPr="007108E3">
        <w:rPr>
          <w:lang w:val="en-US"/>
        </w:rPr>
        <w:t>neighbouring</w:t>
      </w:r>
      <w:proofErr w:type="spellEnd"/>
      <w:r w:rsidRPr="007108E3">
        <w:rPr>
          <w:lang w:val="en-US"/>
        </w:rPr>
        <w:t xml:space="preserve"> nodes will have a more precise information on the actual load of the radio interface of the Cell. </w:t>
      </w:r>
    </w:p>
    <w:p w14:paraId="6AA95745" w14:textId="77777777" w:rsidR="007108E3" w:rsidRPr="007108E3" w:rsidRDefault="007108E3" w:rsidP="007108E3">
      <w:pPr>
        <w:rPr>
          <w:lang w:val="en-US"/>
        </w:rPr>
      </w:pPr>
      <w:r w:rsidRPr="007108E3">
        <w:rPr>
          <w:lang w:val="en-US"/>
        </w:rPr>
        <w:t xml:space="preserve">The use of beam is less likely in unlicensed spectrum, because the LBT mechanism needs to be done in all directions. It is not necessary to report the load information per beam. </w:t>
      </w:r>
    </w:p>
    <w:p w14:paraId="154A82A6" w14:textId="16FB15AE" w:rsidR="007108E3" w:rsidRPr="007108E3" w:rsidRDefault="007108E3" w:rsidP="007108E3">
      <w:pPr>
        <w:rPr>
          <w:b/>
          <w:bCs/>
          <w:lang w:val="en-US"/>
        </w:rPr>
      </w:pPr>
      <w:r w:rsidRPr="007108E3">
        <w:rPr>
          <w:b/>
          <w:bCs/>
          <w:lang w:val="en-US"/>
        </w:rPr>
        <w:t xml:space="preserve">Proposal </w:t>
      </w:r>
      <w:r>
        <w:rPr>
          <w:b/>
          <w:bCs/>
          <w:lang w:val="en-US"/>
        </w:rPr>
        <w:t>3-</w:t>
      </w:r>
      <w:r w:rsidRPr="007108E3">
        <w:rPr>
          <w:b/>
          <w:bCs/>
          <w:lang w:val="en-US"/>
        </w:rPr>
        <w:t xml:space="preserve">2: The unlicensed spectrum load information is reported per cell (not per beam) </w:t>
      </w:r>
    </w:p>
    <w:p w14:paraId="444835E1" w14:textId="77777777" w:rsidR="007108E3" w:rsidRPr="007108E3" w:rsidRDefault="007108E3" w:rsidP="007108E3">
      <w:pPr>
        <w:rPr>
          <w:lang w:val="en-US"/>
        </w:rPr>
      </w:pPr>
      <w:r w:rsidRPr="007108E3">
        <w:rPr>
          <w:lang w:val="en-US"/>
        </w:rPr>
        <w:t xml:space="preserve">When gNB is scanning the cell to know where transmission can happen, this is done per channel of 20MHz. It would also make sense to signal the load per channel in the cell. </w:t>
      </w:r>
    </w:p>
    <w:p w14:paraId="5A581598" w14:textId="51285B5F" w:rsidR="007108E3" w:rsidRPr="007108E3" w:rsidRDefault="007108E3" w:rsidP="007108E3">
      <w:pPr>
        <w:rPr>
          <w:b/>
          <w:bCs/>
          <w:lang w:val="en-US"/>
        </w:rPr>
      </w:pPr>
      <w:r w:rsidRPr="007108E3">
        <w:rPr>
          <w:b/>
          <w:bCs/>
          <w:lang w:val="en-US"/>
        </w:rPr>
        <w:t xml:space="preserve">Proposal </w:t>
      </w:r>
      <w:r>
        <w:rPr>
          <w:b/>
          <w:bCs/>
          <w:lang w:val="en-US"/>
        </w:rPr>
        <w:t>3-</w:t>
      </w:r>
      <w:r w:rsidRPr="007108E3">
        <w:rPr>
          <w:b/>
          <w:bCs/>
          <w:lang w:val="en-US"/>
        </w:rPr>
        <w:t xml:space="preserve">3: The unlicensed spectrum load information is reported per channel of 20MHz </w:t>
      </w:r>
    </w:p>
    <w:p w14:paraId="630E856E" w14:textId="77777777" w:rsidR="007108E3" w:rsidRPr="007108E3" w:rsidRDefault="007108E3" w:rsidP="007108E3">
      <w:pPr>
        <w:rPr>
          <w:lang w:val="en-US"/>
        </w:rPr>
      </w:pPr>
      <w:r w:rsidRPr="007108E3">
        <w:rPr>
          <w:lang w:val="en-US"/>
        </w:rPr>
        <w:t xml:space="preserve">The load per slice in the unlicensed spectrum would make sense only for the load of own usage. But this should be discussed. </w:t>
      </w:r>
    </w:p>
    <w:p w14:paraId="0A518261" w14:textId="64444626" w:rsidR="009E5B34" w:rsidRPr="007108E3" w:rsidRDefault="007108E3" w:rsidP="007108E3">
      <w:pPr>
        <w:rPr>
          <w:b/>
          <w:bCs/>
          <w:lang w:val="en-US"/>
        </w:rPr>
      </w:pPr>
      <w:r w:rsidRPr="007108E3">
        <w:rPr>
          <w:b/>
          <w:bCs/>
          <w:lang w:val="en-US"/>
        </w:rPr>
        <w:t xml:space="preserve">Proposal </w:t>
      </w:r>
      <w:r>
        <w:rPr>
          <w:b/>
          <w:bCs/>
          <w:lang w:val="en-US"/>
        </w:rPr>
        <w:t>3-</w:t>
      </w:r>
      <w:r w:rsidRPr="007108E3">
        <w:rPr>
          <w:b/>
          <w:bCs/>
          <w:lang w:val="en-US"/>
        </w:rPr>
        <w:t>4: RAN2 should discuss if the unlicensed band load information is reported per slice.</w:t>
      </w:r>
    </w:p>
    <w:p w14:paraId="6D2E559A" w14:textId="4D17343F" w:rsidR="00DB75AD" w:rsidRDefault="00DB75AD" w:rsidP="00DB75AD">
      <w:pPr>
        <w:pStyle w:val="Heading2"/>
      </w:pPr>
      <w:r>
        <w:lastRenderedPageBreak/>
        <w:t>2.4</w:t>
      </w:r>
      <w:r>
        <w:tab/>
        <w:t>Load information per BWP</w:t>
      </w:r>
    </w:p>
    <w:p w14:paraId="1766A5E8" w14:textId="2E3DD913" w:rsidR="000C720B" w:rsidRDefault="000C720B" w:rsidP="000C720B">
      <w:r>
        <w:t>This problem was originally presented in [5].</w:t>
      </w:r>
    </w:p>
    <w:p w14:paraId="2018DC0B" w14:textId="5BA1FA90" w:rsidR="00DB75AD" w:rsidRDefault="00DB75AD" w:rsidP="00DB75AD">
      <w:r>
        <w:t>For PRB usage report and for CAC report, it has been agreed to have a report per Beam (or per SSB). We describe below some points to consider.</w:t>
      </w:r>
    </w:p>
    <w:p w14:paraId="74BE5F18" w14:textId="604F4124" w:rsidR="00DB75AD" w:rsidRDefault="00DB75AD" w:rsidP="00DB75AD">
      <w:r>
        <w:t>In NR, it is possible to use several BWPs (</w:t>
      </w:r>
      <w:r w:rsidRPr="00E87313">
        <w:t>Bandwidth Adaptation</w:t>
      </w:r>
      <w:r>
        <w:t xml:space="preserve">) within a Cell. </w:t>
      </w:r>
      <w:r w:rsidRPr="00E87313">
        <w:t>Bandwidth Adaptation</w:t>
      </w:r>
      <w:r>
        <w:t xml:space="preserve"> is described in TS </w:t>
      </w:r>
      <w:r w:rsidRPr="00DB75AD">
        <w:t>38.300</w:t>
      </w:r>
      <w:r>
        <w:t>, section 6.10. The figure below shows an example of BWP configuration in a cell, for Bandwidth Adaptation.</w:t>
      </w:r>
    </w:p>
    <w:p w14:paraId="46531866" w14:textId="77777777" w:rsidR="00DB75AD" w:rsidRPr="002E50A6" w:rsidRDefault="00DB75AD" w:rsidP="00DB75AD">
      <w:pPr>
        <w:jc w:val="center"/>
      </w:pPr>
      <w:r w:rsidRPr="00653C72">
        <w:rPr>
          <w:noProof/>
        </w:rPr>
        <w:object w:dxaOrig="4081" w:dyaOrig="4216" w14:anchorId="79F0A5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2pt;height:211.2pt" o:ole="">
            <v:imagedata r:id="rId14" o:title=""/>
          </v:shape>
          <o:OLEObject Type="Embed" ProgID="Visio.Drawing.11" ShapeID="_x0000_i1025" DrawAspect="Content" ObjectID="_1664888281" r:id="rId15"/>
        </w:object>
      </w:r>
    </w:p>
    <w:p w14:paraId="7CDBE47B" w14:textId="77777777" w:rsidR="00DB75AD" w:rsidRPr="002E50A6" w:rsidRDefault="00DB75AD" w:rsidP="00DB75AD">
      <w:pPr>
        <w:jc w:val="center"/>
      </w:pPr>
      <w:r w:rsidRPr="002E50A6">
        <w:t xml:space="preserve">Figure </w:t>
      </w:r>
      <w:r>
        <w:t>1</w:t>
      </w:r>
      <w:r w:rsidRPr="002E50A6">
        <w:t xml:space="preserve">: Example of </w:t>
      </w:r>
      <w:r>
        <w:t>BWPs in a Cell</w:t>
      </w:r>
    </w:p>
    <w:p w14:paraId="1AD94450" w14:textId="77777777" w:rsidR="00DB75AD" w:rsidRPr="00B06B0B" w:rsidRDefault="00DB75AD" w:rsidP="00DB75AD">
      <w:r>
        <w:t>T</w:t>
      </w:r>
      <w:r w:rsidRPr="007D07ED">
        <w:t xml:space="preserve">he figure </w:t>
      </w:r>
      <w:r>
        <w:t>2</w:t>
      </w:r>
      <w:r w:rsidRPr="007D07ED">
        <w:t xml:space="preserve"> above illustrate</w:t>
      </w:r>
      <w:r>
        <w:t>s</w:t>
      </w:r>
      <w:r w:rsidRPr="007D07ED">
        <w:t xml:space="preserve"> the case of different</w:t>
      </w:r>
      <w:r>
        <w:t xml:space="preserve"> BWPs configured in a cell. BWP</w:t>
      </w:r>
      <w:r>
        <w:rPr>
          <w:vertAlign w:val="subscript"/>
        </w:rPr>
        <w:t>0</w:t>
      </w:r>
      <w:r>
        <w:t xml:space="preserve"> is the initial BWP. BWP</w:t>
      </w:r>
      <w:r>
        <w:rPr>
          <w:vertAlign w:val="subscript"/>
        </w:rPr>
        <w:t>1</w:t>
      </w:r>
      <w:r>
        <w:t xml:space="preserve"> and BWP</w:t>
      </w:r>
      <w:r>
        <w:rPr>
          <w:vertAlign w:val="subscript"/>
        </w:rPr>
        <w:t xml:space="preserve">2 </w:t>
      </w:r>
      <w:r>
        <w:t>are a BWP used for heavier traffic usage. The BWPs belong to the same cell and are located within the total cell bandwidth.</w:t>
      </w:r>
    </w:p>
    <w:p w14:paraId="1C1E6DD5" w14:textId="77777777" w:rsidR="00DB75AD" w:rsidRDefault="00DB75AD" w:rsidP="00DB75AD">
      <w:r>
        <w:t>Note that the BWP are overlapping which is considered as the most probable use of BWP in NR. As a consequence, both BWP can use the CD-SSB from the initial BWP for beam forming. However, in current specifications, it is only possible to report the load of the whole cell.</w:t>
      </w:r>
    </w:p>
    <w:p w14:paraId="566843C4" w14:textId="77777777" w:rsidR="00DB75AD" w:rsidRDefault="00DB75AD" w:rsidP="00DB75AD">
      <w:r>
        <w:t xml:space="preserve">On the other hand, a UE may not be able to use all the available BWPs. Therefore, a DU may manifest sufficient resources to support a UE, but it is still unsure if the UE may use the BWP where the resources are available. </w:t>
      </w:r>
    </w:p>
    <w:p w14:paraId="78FCA9AA" w14:textId="703E0C76" w:rsidR="00DB75AD" w:rsidRDefault="00DB75AD" w:rsidP="00DB75AD">
      <w:pPr>
        <w:rPr>
          <w:b/>
          <w:bCs/>
        </w:rPr>
      </w:pPr>
      <w:r w:rsidRPr="009E2C3D">
        <w:rPr>
          <w:b/>
          <w:bCs/>
        </w:rPr>
        <w:t xml:space="preserve">Observation </w:t>
      </w:r>
      <w:r w:rsidR="009009E6">
        <w:rPr>
          <w:b/>
          <w:bCs/>
        </w:rPr>
        <w:t>4-</w:t>
      </w:r>
      <w:r w:rsidRPr="009E2C3D">
        <w:rPr>
          <w:b/>
          <w:bCs/>
        </w:rPr>
        <w:t xml:space="preserve">1: </w:t>
      </w:r>
      <w:r>
        <w:rPr>
          <w:b/>
          <w:bCs/>
        </w:rPr>
        <w:t>The current resource reporting mechanism still has gaps that may result in rejections of UE Context Setup in a DU.</w:t>
      </w:r>
    </w:p>
    <w:p w14:paraId="1005DB71" w14:textId="3E420486" w:rsidR="00DB75AD" w:rsidRPr="009E2C3D" w:rsidRDefault="00DB75AD" w:rsidP="00DB75AD">
      <w:r>
        <w:t>Resource reporting per SSB, as already available, or per slice, as proposed for Rel.17, does yet solve the problem – the only option is to enable reporting per BWP, too. This may be particularly relevant if BWPs are linked with specific services.</w:t>
      </w:r>
    </w:p>
    <w:p w14:paraId="4BC03B1E" w14:textId="63FF6319" w:rsidR="00DB75AD" w:rsidRDefault="00DB75AD" w:rsidP="00DB75AD">
      <w:pPr>
        <w:rPr>
          <w:b/>
          <w:bCs/>
        </w:rPr>
      </w:pPr>
      <w:r w:rsidRPr="009E2C3D">
        <w:rPr>
          <w:b/>
          <w:bCs/>
        </w:rPr>
        <w:t xml:space="preserve">Proposal </w:t>
      </w:r>
      <w:r w:rsidR="009009E6">
        <w:rPr>
          <w:b/>
          <w:bCs/>
        </w:rPr>
        <w:t>4-</w:t>
      </w:r>
      <w:r w:rsidRPr="009E2C3D">
        <w:rPr>
          <w:b/>
          <w:bCs/>
        </w:rPr>
        <w:t>1: It should be possible to indicate the load of the different BWP independently</w:t>
      </w:r>
      <w:r>
        <w:rPr>
          <w:b/>
          <w:bCs/>
        </w:rPr>
        <w:t xml:space="preserve"> </w:t>
      </w:r>
    </w:p>
    <w:p w14:paraId="28A8C92A" w14:textId="77777777" w:rsidR="00DB75AD" w:rsidRDefault="00DB75AD" w:rsidP="00DB75AD">
      <w:r>
        <w:t xml:space="preserve">This information could be delivered as PRB usage or Composite Available Capacity </w:t>
      </w:r>
    </w:p>
    <w:p w14:paraId="33B1FD8D" w14:textId="12253010" w:rsidR="000C720B" w:rsidRDefault="000C720B" w:rsidP="000C720B">
      <w:pPr>
        <w:pStyle w:val="Heading2"/>
      </w:pPr>
      <w:r>
        <w:t>2.5</w:t>
      </w:r>
      <w:r>
        <w:tab/>
      </w:r>
      <w:r w:rsidRPr="000C720B">
        <w:t>MLB for multi panel UEs</w:t>
      </w:r>
    </w:p>
    <w:p w14:paraId="0CA1F00C" w14:textId="77777777" w:rsidR="000C720B" w:rsidRDefault="000C720B" w:rsidP="000C720B">
      <w:r>
        <w:t xml:space="preserve">When using </w:t>
      </w:r>
      <w:proofErr w:type="spellStart"/>
      <w:r>
        <w:t>mmWave</w:t>
      </w:r>
      <w:proofErr w:type="spellEnd"/>
      <w:r>
        <w:t xml:space="preserve"> in NR, the need arises to compensate for pathloss at these higher frequencies and thus it was proposed to use antenna arrays at the gNB and UE.  Patch arrays for </w:t>
      </w:r>
      <w:proofErr w:type="spellStart"/>
      <w:r>
        <w:t>mmWave</w:t>
      </w:r>
      <w:proofErr w:type="spellEnd"/>
      <w:r>
        <w:t xml:space="preserve"> at UE level are very directive and lead to having multiple array panels covering multiple spatial directions </w:t>
      </w:r>
    </w:p>
    <w:p w14:paraId="2038CF90" w14:textId="77777777" w:rsidR="000C720B" w:rsidRDefault="000C720B" w:rsidP="000C720B">
      <w:r>
        <w:t xml:space="preserve">When the UE has multiple panels (referred to as MPUE), it may use one or more antenna panels at the same time according to the assumptions agreed in RAN1#AH1901: </w:t>
      </w:r>
    </w:p>
    <w:p w14:paraId="3D487587" w14:textId="77777777" w:rsidR="000C720B" w:rsidRDefault="000C720B" w:rsidP="000C720B">
      <w:pPr>
        <w:pStyle w:val="ListParagraph"/>
        <w:numPr>
          <w:ilvl w:val="0"/>
          <w:numId w:val="40"/>
        </w:numPr>
      </w:pPr>
      <w:r>
        <w:lastRenderedPageBreak/>
        <w:t xml:space="preserve">MPUE-Assumption1: Multiple panels are implemented on a UE and only one panel can be activated at a time, with panel switching/activation delay of [X] </w:t>
      </w:r>
      <w:proofErr w:type="spellStart"/>
      <w:r>
        <w:t>ms.</w:t>
      </w:r>
      <w:proofErr w:type="spellEnd"/>
      <w:r>
        <w:t xml:space="preserve"> </w:t>
      </w:r>
    </w:p>
    <w:p w14:paraId="4519C02A" w14:textId="77777777" w:rsidR="000C720B" w:rsidRDefault="000C720B" w:rsidP="000C720B">
      <w:pPr>
        <w:pStyle w:val="ListParagraph"/>
        <w:numPr>
          <w:ilvl w:val="0"/>
          <w:numId w:val="40"/>
        </w:numPr>
      </w:pPr>
      <w:r>
        <w:t xml:space="preserve">MPUE-Assumption2: Multiple panels are implemented on a UE and multiple panels can be activated at a time and one or more panels can be used for Tx. </w:t>
      </w:r>
    </w:p>
    <w:p w14:paraId="4B2A70E2" w14:textId="77777777" w:rsidR="000C720B" w:rsidRDefault="000C720B" w:rsidP="000C720B">
      <w:pPr>
        <w:pStyle w:val="ListParagraph"/>
        <w:numPr>
          <w:ilvl w:val="0"/>
          <w:numId w:val="40"/>
        </w:numPr>
      </w:pPr>
      <w:r>
        <w:t xml:space="preserve">MPUE-Assumption3: Multiple panels are implemented on a UE and multiple panels can be activated at a time but only one panel can be used for Tx </w:t>
      </w:r>
    </w:p>
    <w:p w14:paraId="5688955D" w14:textId="77777777" w:rsidR="000C720B" w:rsidRDefault="000C720B" w:rsidP="000C720B">
      <w:r>
        <w:t xml:space="preserve">In MPUE-Assumption 2 and 3, the UE can perform measurements simultaneously on multi-panels whereas in MPUE-Assumption 1 the UE can perform measurement only on one panel at a time. </w:t>
      </w:r>
    </w:p>
    <w:p w14:paraId="4E58E99B" w14:textId="6218D518" w:rsidR="000C720B" w:rsidRDefault="000C720B" w:rsidP="000C720B">
      <w:r>
        <w:t>Although an MPUE is equipped with multiple panels, there will be only one serving panel at a time on the UE side for MPUE-Assumption 1 and 3. The serving panel is defined as the panel that receives the serving cell/beam with the highest quality.</w:t>
      </w:r>
    </w:p>
    <w:p w14:paraId="67D9C9C7" w14:textId="77777777" w:rsidR="000C720B" w:rsidRDefault="000C720B" w:rsidP="000C720B">
      <w:r>
        <w:t xml:space="preserve">The level of inter-cell interference depends on the UE antenna architecture and its orientation. This is illustrated in Figure 1 which shows three different cases: </w:t>
      </w:r>
    </w:p>
    <w:p w14:paraId="291ECC2D" w14:textId="50FE76DA" w:rsidR="000C720B" w:rsidRDefault="000C720B" w:rsidP="000C720B">
      <w:pPr>
        <w:pStyle w:val="ListParagraph"/>
        <w:numPr>
          <w:ilvl w:val="0"/>
          <w:numId w:val="41"/>
        </w:numPr>
      </w:pPr>
      <w:r>
        <w:t>UE with omni-directional antenna - both serving and target cells are received in the same omni-antenna creating a maximum level of interference</w:t>
      </w:r>
    </w:p>
    <w:p w14:paraId="1D8BAEDF" w14:textId="24A069FE" w:rsidR="000C720B" w:rsidRDefault="000C720B" w:rsidP="000C720B">
      <w:pPr>
        <w:pStyle w:val="ListParagraph"/>
        <w:numPr>
          <w:ilvl w:val="0"/>
          <w:numId w:val="41"/>
        </w:numPr>
      </w:pPr>
      <w:r>
        <w:t>Multi-panel UE with best UE orientation with respect to inter-cell interference minimization - serving cell is received with high signal power on panel 1 and weak power on panel 2 and the target  cell is received with high signal power on panel 2 and weak power on panel 1</w:t>
      </w:r>
    </w:p>
    <w:p w14:paraId="12C0504B" w14:textId="7BD956CD" w:rsidR="000C720B" w:rsidRDefault="000C720B" w:rsidP="000C720B">
      <w:pPr>
        <w:pStyle w:val="ListParagraph"/>
        <w:numPr>
          <w:ilvl w:val="0"/>
          <w:numId w:val="41"/>
        </w:numPr>
      </w:pPr>
      <w:r>
        <w:t>Multi-panel UE with bad orientation with respect to inter-cell interference - signal of target cell received on panel 1 will have similar antenna pattern/beamforming attenuation of serving cell signal, creating again high level of interference, similar to case a).</w:t>
      </w:r>
    </w:p>
    <w:p w14:paraId="76D51852" w14:textId="77777777" w:rsidR="000C720B" w:rsidRDefault="000C720B" w:rsidP="000C720B">
      <w:r>
        <w:t>Note that the current assumption in 3GPP is that the panel architecture, the orientation on the UE side and thus the spatial separation among the panels is not visible or reported to the network. Moreover, the switching of the active panel (i.e. the panel where the UE receives the serving beam), which can be triggered by changes in orientation of the UE, which can occur very suddenly and often, is left up to UE implementation.</w:t>
      </w:r>
    </w:p>
    <w:p w14:paraId="68130224" w14:textId="2FE34879" w:rsidR="000C720B" w:rsidRDefault="000C720B" w:rsidP="000C720B">
      <w:pPr>
        <w:jc w:val="center"/>
      </w:pPr>
      <w:r>
        <w:rPr>
          <w:noProof/>
          <w:lang w:val="en-US"/>
        </w:rPr>
        <w:drawing>
          <wp:inline distT="0" distB="0" distL="0" distR="0" wp14:anchorId="3D601A35" wp14:editId="2ADA2B56">
            <wp:extent cx="3985260" cy="18891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04221" cy="1898179"/>
                    </a:xfrm>
                    <a:prstGeom prst="rect">
                      <a:avLst/>
                    </a:prstGeom>
                    <a:noFill/>
                  </pic:spPr>
                </pic:pic>
              </a:graphicData>
            </a:graphic>
          </wp:inline>
        </w:drawing>
      </w:r>
    </w:p>
    <w:p w14:paraId="5CF42001" w14:textId="653A7CE0" w:rsidR="000C720B" w:rsidRPr="000C720B" w:rsidRDefault="000C720B" w:rsidP="000C720B">
      <w:pPr>
        <w:rPr>
          <w:b/>
          <w:bCs/>
        </w:rPr>
      </w:pPr>
      <w:r w:rsidRPr="000C720B">
        <w:rPr>
          <w:b/>
          <w:bCs/>
        </w:rPr>
        <w:t xml:space="preserve">Observation </w:t>
      </w:r>
      <w:r w:rsidR="00985488">
        <w:rPr>
          <w:b/>
          <w:bCs/>
        </w:rPr>
        <w:t>5-</w:t>
      </w:r>
      <w:r w:rsidRPr="000C720B">
        <w:rPr>
          <w:b/>
          <w:bCs/>
        </w:rPr>
        <w:t>1: The level of inter-cell interference depends on the UE’s antenna architecture and orientation; however this is not known to the network.</w:t>
      </w:r>
    </w:p>
    <w:p w14:paraId="1C7CB256" w14:textId="0E4AC820" w:rsidR="000C720B" w:rsidRPr="000C720B" w:rsidRDefault="000C720B" w:rsidP="000C720B">
      <w:pPr>
        <w:rPr>
          <w:b/>
          <w:bCs/>
        </w:rPr>
      </w:pPr>
      <w:r w:rsidRPr="000C720B">
        <w:rPr>
          <w:b/>
          <w:bCs/>
        </w:rPr>
        <w:t xml:space="preserve">Observation </w:t>
      </w:r>
      <w:r w:rsidR="00985488">
        <w:rPr>
          <w:b/>
          <w:bCs/>
        </w:rPr>
        <w:t>5-</w:t>
      </w:r>
      <w:r w:rsidRPr="000C720B">
        <w:rPr>
          <w:b/>
          <w:bCs/>
        </w:rPr>
        <w:t>2: Switching of the active panel (i.e. the panel where the UE receives the serving beam) is left up to UE implementation and may be triggered by changes in orientation of the UE, which can occur very suddenly and often.</w:t>
      </w:r>
    </w:p>
    <w:p w14:paraId="76D25D43" w14:textId="77777777" w:rsidR="000C720B" w:rsidRDefault="000C720B" w:rsidP="000C720B">
      <w:r>
        <w:t xml:space="preserve">The orientation of the UE thus impacts the special separation of the cells and brings benefits of intra-frequency load balancing. In case b), where there is a large difference between measurements of the same cell on DIFFERENT panels, the offloading opportunities from serving cell to target cell are greater as compared to cases a) and c). </w:t>
      </w:r>
    </w:p>
    <w:p w14:paraId="7F50D33D" w14:textId="77777777" w:rsidR="000C720B" w:rsidRDefault="000C720B" w:rsidP="000C720B">
      <w:r>
        <w:t xml:space="preserve">The challenge is thus to exploit the large difference in RSRP between cell associated with certain orientations of a multi-panel UE for achieving better load balancing in the network. </w:t>
      </w:r>
    </w:p>
    <w:p w14:paraId="5AC4CDC2" w14:textId="31682DD0" w:rsidR="000C720B" w:rsidRPr="000C720B" w:rsidRDefault="000C720B" w:rsidP="000C720B">
      <w:pPr>
        <w:rPr>
          <w:b/>
          <w:bCs/>
        </w:rPr>
      </w:pPr>
      <w:r w:rsidRPr="000C720B">
        <w:rPr>
          <w:b/>
          <w:bCs/>
        </w:rPr>
        <w:t xml:space="preserve">Observation </w:t>
      </w:r>
      <w:r w:rsidR="00985488">
        <w:rPr>
          <w:b/>
          <w:bCs/>
        </w:rPr>
        <w:t>5-</w:t>
      </w:r>
      <w:r w:rsidRPr="000C720B">
        <w:rPr>
          <w:b/>
          <w:bCs/>
        </w:rPr>
        <w:t>3: The orientation of the UE thus impacts the special separation of cells and brings benefits of intra-frequency load balancing.</w:t>
      </w:r>
    </w:p>
    <w:p w14:paraId="61DE0BC8" w14:textId="488A9CE6" w:rsidR="007108E3" w:rsidRPr="000C720B" w:rsidRDefault="000C720B" w:rsidP="000C720B">
      <w:pPr>
        <w:rPr>
          <w:b/>
          <w:bCs/>
        </w:rPr>
      </w:pPr>
      <w:r w:rsidRPr="000C720B">
        <w:rPr>
          <w:b/>
          <w:bCs/>
        </w:rPr>
        <w:t xml:space="preserve">Proposal </w:t>
      </w:r>
      <w:r w:rsidR="00985488">
        <w:rPr>
          <w:b/>
          <w:bCs/>
        </w:rPr>
        <w:t>5-</w:t>
      </w:r>
      <w:r w:rsidRPr="000C720B">
        <w:rPr>
          <w:b/>
          <w:bCs/>
        </w:rPr>
        <w:t>1: RAN3 to consider load balancing solutions which exploit the large spatial separation of cells associated with multi-panel UEs.</w:t>
      </w:r>
      <w:r w:rsidR="004D4308">
        <w:rPr>
          <w:b/>
          <w:bCs/>
        </w:rPr>
        <w:t xml:space="preserve"> If needed, RAN2 shall be consulted.</w:t>
      </w:r>
    </w:p>
    <w:p w14:paraId="28E42E52" w14:textId="77777777" w:rsidR="000F16C4" w:rsidRPr="006A1EFD" w:rsidRDefault="00CD2620" w:rsidP="00E00CEF">
      <w:pPr>
        <w:pStyle w:val="Heading1"/>
      </w:pPr>
      <w:r w:rsidRPr="006A1EFD">
        <w:lastRenderedPageBreak/>
        <w:t>3</w:t>
      </w:r>
      <w:r w:rsidR="000F16C4" w:rsidRPr="006A1EFD">
        <w:tab/>
      </w:r>
      <w:r w:rsidRPr="006A1EFD">
        <w:t>Conclusions</w:t>
      </w:r>
    </w:p>
    <w:p w14:paraId="2C10ADBC" w14:textId="3BD174F6" w:rsidR="00A15228" w:rsidRDefault="009726C7" w:rsidP="006A43F7">
      <w:pPr>
        <w:jc w:val="both"/>
        <w:rPr>
          <w:bCs/>
        </w:rPr>
      </w:pPr>
      <w:r>
        <w:rPr>
          <w:bCs/>
        </w:rPr>
        <w:t>In this contribution, we’ve reminded some proposals related to load management and add new ones. We make following observations and conclusions:</w:t>
      </w:r>
    </w:p>
    <w:p w14:paraId="6D80E073" w14:textId="6619711B" w:rsidR="009726C7" w:rsidRPr="009726C7" w:rsidRDefault="009726C7" w:rsidP="006A43F7">
      <w:pPr>
        <w:jc w:val="both"/>
        <w:rPr>
          <w:bCs/>
          <w:u w:val="single"/>
        </w:rPr>
      </w:pPr>
      <w:r w:rsidRPr="009726C7">
        <w:rPr>
          <w:bCs/>
          <w:u w:val="single"/>
        </w:rPr>
        <w:t>Load information per slice</w:t>
      </w:r>
    </w:p>
    <w:p w14:paraId="790AD982" w14:textId="77777777" w:rsidR="009726C7" w:rsidRPr="009726C7" w:rsidRDefault="009726C7" w:rsidP="009726C7">
      <w:pPr>
        <w:ind w:left="284"/>
        <w:jc w:val="both"/>
        <w:rPr>
          <w:bCs/>
        </w:rPr>
      </w:pPr>
      <w:r w:rsidRPr="009726C7">
        <w:rPr>
          <w:bCs/>
        </w:rPr>
        <w:t>Proposal 1-1: Extend the F1AP: GNB-DU STATUS INDICATION and E1AP: GNB-CU-UP STATUS INDICATION messages to provide information per slice.</w:t>
      </w:r>
    </w:p>
    <w:p w14:paraId="304758F9" w14:textId="77777777" w:rsidR="009726C7" w:rsidRPr="009726C7" w:rsidRDefault="009726C7" w:rsidP="009726C7">
      <w:pPr>
        <w:ind w:left="284"/>
        <w:jc w:val="both"/>
        <w:rPr>
          <w:bCs/>
        </w:rPr>
      </w:pPr>
      <w:r w:rsidRPr="009726C7">
        <w:rPr>
          <w:bCs/>
        </w:rPr>
        <w:t>Proposal 1-2: Per-slice radio resources are reported, if slice information is requested.</w:t>
      </w:r>
    </w:p>
    <w:p w14:paraId="079CD6F9" w14:textId="7631BC05" w:rsidR="009726C7" w:rsidRDefault="009726C7" w:rsidP="009726C7">
      <w:pPr>
        <w:ind w:left="284"/>
        <w:jc w:val="both"/>
        <w:rPr>
          <w:bCs/>
        </w:rPr>
      </w:pPr>
      <w:r w:rsidRPr="009726C7">
        <w:rPr>
          <w:bCs/>
        </w:rPr>
        <w:t>Proposal 1-3: RAN3 to discuss if slice information could also be added to the periodic reporting of the TNL capacity.</w:t>
      </w:r>
    </w:p>
    <w:p w14:paraId="6D070905" w14:textId="21065FBE" w:rsidR="003B6E2B" w:rsidRDefault="003B6E2B" w:rsidP="003B6E2B">
      <w:pPr>
        <w:jc w:val="both"/>
        <w:rPr>
          <w:bCs/>
        </w:rPr>
      </w:pPr>
      <w:r>
        <w:rPr>
          <w:bCs/>
        </w:rPr>
        <w:t>TPs to address these proposals are in [6] and [7].</w:t>
      </w:r>
    </w:p>
    <w:p w14:paraId="791500E1" w14:textId="6F82CA6E" w:rsidR="009726C7" w:rsidRPr="009726C7" w:rsidRDefault="009726C7" w:rsidP="006A43F7">
      <w:pPr>
        <w:jc w:val="both"/>
        <w:rPr>
          <w:bCs/>
          <w:u w:val="single"/>
        </w:rPr>
      </w:pPr>
      <w:r w:rsidRPr="009726C7">
        <w:rPr>
          <w:bCs/>
          <w:u w:val="single"/>
        </w:rPr>
        <w:t>Further clarification of TNL load information</w:t>
      </w:r>
    </w:p>
    <w:p w14:paraId="58F52837" w14:textId="33EB4D42" w:rsidR="009726C7" w:rsidRDefault="009726C7" w:rsidP="009726C7">
      <w:pPr>
        <w:ind w:left="284"/>
        <w:jc w:val="both"/>
        <w:rPr>
          <w:bCs/>
        </w:rPr>
      </w:pPr>
      <w:r w:rsidRPr="009726C7">
        <w:rPr>
          <w:bCs/>
        </w:rPr>
        <w:t>Proposal 2-1: In order to clarify what “the lowest” is to be selected from, the list of relevant interfaces shall be added to the sentence added at RAN3 #109.</w:t>
      </w:r>
    </w:p>
    <w:p w14:paraId="64FFB551" w14:textId="2086998F" w:rsidR="00C76BD2" w:rsidRDefault="00C76BD2" w:rsidP="00C76BD2">
      <w:pPr>
        <w:jc w:val="both"/>
        <w:rPr>
          <w:bCs/>
        </w:rPr>
      </w:pPr>
      <w:r>
        <w:rPr>
          <w:bCs/>
        </w:rPr>
        <w:t>TPs to address this proposal are in [8] and [9].</w:t>
      </w:r>
    </w:p>
    <w:p w14:paraId="525FE152" w14:textId="26EFCF6C" w:rsidR="009726C7" w:rsidRPr="009726C7" w:rsidRDefault="009726C7" w:rsidP="006A43F7">
      <w:pPr>
        <w:jc w:val="both"/>
        <w:rPr>
          <w:bCs/>
          <w:u w:val="single"/>
        </w:rPr>
      </w:pPr>
      <w:r w:rsidRPr="009726C7">
        <w:rPr>
          <w:bCs/>
          <w:u w:val="single"/>
        </w:rPr>
        <w:t>Load information from NR-U</w:t>
      </w:r>
    </w:p>
    <w:p w14:paraId="4AAE18C3" w14:textId="77777777" w:rsidR="009726C7" w:rsidRPr="009726C7" w:rsidRDefault="009726C7" w:rsidP="009726C7">
      <w:pPr>
        <w:ind w:left="284"/>
        <w:jc w:val="both"/>
        <w:rPr>
          <w:bCs/>
        </w:rPr>
      </w:pPr>
      <w:r w:rsidRPr="009726C7">
        <w:rPr>
          <w:bCs/>
        </w:rPr>
        <w:t xml:space="preserve">Proposal 3-1: The Load of unlicensed spectrum is signalled over F1 and </w:t>
      </w:r>
      <w:proofErr w:type="spellStart"/>
      <w:r w:rsidRPr="009726C7">
        <w:rPr>
          <w:bCs/>
        </w:rPr>
        <w:t>Xn</w:t>
      </w:r>
      <w:proofErr w:type="spellEnd"/>
      <w:r w:rsidRPr="009726C7">
        <w:rPr>
          <w:bCs/>
        </w:rPr>
        <w:t xml:space="preserve"> interface. </w:t>
      </w:r>
    </w:p>
    <w:p w14:paraId="13F8BD58" w14:textId="77777777" w:rsidR="009726C7" w:rsidRPr="009726C7" w:rsidRDefault="009726C7" w:rsidP="009726C7">
      <w:pPr>
        <w:ind w:left="284"/>
        <w:jc w:val="both"/>
        <w:rPr>
          <w:bCs/>
        </w:rPr>
      </w:pPr>
      <w:r w:rsidRPr="009726C7">
        <w:rPr>
          <w:bCs/>
        </w:rPr>
        <w:t xml:space="preserve">Proposal 3-2: The unlicensed spectrum load information is reported per cell (not per beam) </w:t>
      </w:r>
    </w:p>
    <w:p w14:paraId="48849DE7" w14:textId="77777777" w:rsidR="009726C7" w:rsidRPr="009726C7" w:rsidRDefault="009726C7" w:rsidP="009726C7">
      <w:pPr>
        <w:ind w:left="284"/>
        <w:jc w:val="both"/>
        <w:rPr>
          <w:bCs/>
        </w:rPr>
      </w:pPr>
      <w:r w:rsidRPr="009726C7">
        <w:rPr>
          <w:bCs/>
        </w:rPr>
        <w:t xml:space="preserve">Proposal 3-3: The unlicensed spectrum load information is reported per channel of 20MHz </w:t>
      </w:r>
    </w:p>
    <w:p w14:paraId="460421C4" w14:textId="22AA84F5" w:rsidR="009726C7" w:rsidRDefault="009726C7" w:rsidP="009726C7">
      <w:pPr>
        <w:ind w:left="284"/>
        <w:jc w:val="both"/>
        <w:rPr>
          <w:bCs/>
        </w:rPr>
      </w:pPr>
      <w:r w:rsidRPr="009726C7">
        <w:rPr>
          <w:bCs/>
        </w:rPr>
        <w:t>Proposal 3-4: RAN2 should discuss if the unlicensed band load information is reported per slice.</w:t>
      </w:r>
    </w:p>
    <w:p w14:paraId="7E88366F" w14:textId="5014B8D8" w:rsidR="009726C7" w:rsidRPr="009726C7" w:rsidRDefault="009726C7" w:rsidP="006A43F7">
      <w:pPr>
        <w:jc w:val="both"/>
        <w:rPr>
          <w:bCs/>
          <w:u w:val="single"/>
        </w:rPr>
      </w:pPr>
      <w:r w:rsidRPr="009726C7">
        <w:rPr>
          <w:bCs/>
          <w:u w:val="single"/>
        </w:rPr>
        <w:t>Load information per BWP</w:t>
      </w:r>
    </w:p>
    <w:p w14:paraId="62D20F66" w14:textId="77777777" w:rsidR="009726C7" w:rsidRPr="009726C7" w:rsidRDefault="009726C7" w:rsidP="009726C7">
      <w:pPr>
        <w:ind w:left="284"/>
        <w:jc w:val="both"/>
        <w:rPr>
          <w:bCs/>
        </w:rPr>
      </w:pPr>
      <w:r w:rsidRPr="009726C7">
        <w:rPr>
          <w:bCs/>
        </w:rPr>
        <w:t>Observation 4-1: The current resource reporting mechanism still has gaps that may result in rejections of UE Context Setup in a DU.</w:t>
      </w:r>
    </w:p>
    <w:p w14:paraId="63170E6D" w14:textId="2FA5A5A1" w:rsidR="009726C7" w:rsidRDefault="009726C7" w:rsidP="009726C7">
      <w:pPr>
        <w:ind w:left="284"/>
        <w:jc w:val="both"/>
        <w:rPr>
          <w:bCs/>
        </w:rPr>
      </w:pPr>
      <w:r w:rsidRPr="009726C7">
        <w:rPr>
          <w:bCs/>
        </w:rPr>
        <w:t>Proposal 4-1: It should be possible to indicate the load of the different BWP independently</w:t>
      </w:r>
    </w:p>
    <w:p w14:paraId="03DF3135" w14:textId="27903A3D" w:rsidR="009726C7" w:rsidRPr="009726C7" w:rsidRDefault="009726C7" w:rsidP="006A43F7">
      <w:pPr>
        <w:jc w:val="both"/>
        <w:rPr>
          <w:bCs/>
          <w:u w:val="single"/>
        </w:rPr>
      </w:pPr>
      <w:r w:rsidRPr="009726C7">
        <w:rPr>
          <w:bCs/>
          <w:u w:val="single"/>
        </w:rPr>
        <w:t>MLB for multi panel UEs</w:t>
      </w:r>
    </w:p>
    <w:p w14:paraId="32ED013B" w14:textId="77777777" w:rsidR="009726C7" w:rsidRPr="009726C7" w:rsidRDefault="009726C7" w:rsidP="009726C7">
      <w:pPr>
        <w:ind w:left="284"/>
        <w:jc w:val="both"/>
        <w:rPr>
          <w:bCs/>
        </w:rPr>
      </w:pPr>
      <w:r w:rsidRPr="009726C7">
        <w:rPr>
          <w:bCs/>
        </w:rPr>
        <w:t>Observation 5-1: The level of inter-cell interference depends on the UE’s antenna architecture and orientation; however this is not known to the network.</w:t>
      </w:r>
    </w:p>
    <w:p w14:paraId="49550A87" w14:textId="77777777" w:rsidR="009726C7" w:rsidRPr="009726C7" w:rsidRDefault="009726C7" w:rsidP="009726C7">
      <w:pPr>
        <w:ind w:left="284"/>
        <w:jc w:val="both"/>
        <w:rPr>
          <w:bCs/>
        </w:rPr>
      </w:pPr>
      <w:r w:rsidRPr="009726C7">
        <w:rPr>
          <w:bCs/>
        </w:rPr>
        <w:t>Observation 5-2: Switching of the active panel (i.e. the panel where the UE receives the serving beam) is left up to UE implementation and may be triggered by changes in orientation of the UE, which can occur very suddenly and often.</w:t>
      </w:r>
    </w:p>
    <w:p w14:paraId="5E81B711" w14:textId="77777777" w:rsidR="009726C7" w:rsidRPr="009726C7" w:rsidRDefault="009726C7" w:rsidP="009726C7">
      <w:pPr>
        <w:ind w:left="284"/>
        <w:jc w:val="both"/>
        <w:rPr>
          <w:bCs/>
        </w:rPr>
      </w:pPr>
      <w:r w:rsidRPr="009726C7">
        <w:rPr>
          <w:bCs/>
        </w:rPr>
        <w:t>Observation 5-3: The orientation of the UE thus impacts the special separation of cells and brings benefits of intra-frequency load balancing.</w:t>
      </w:r>
    </w:p>
    <w:p w14:paraId="18FF7B71" w14:textId="71020975" w:rsidR="003B6E2B" w:rsidRPr="006A1EFD" w:rsidRDefault="009726C7" w:rsidP="003B6E2B">
      <w:pPr>
        <w:ind w:left="284"/>
        <w:jc w:val="both"/>
        <w:rPr>
          <w:bCs/>
        </w:rPr>
      </w:pPr>
      <w:r w:rsidRPr="009726C7">
        <w:rPr>
          <w:bCs/>
        </w:rPr>
        <w:t>Proposal 5-1: RAN3 to consider load balancing solutions which exploit the large spatial separation of cells associated with multi-panel UEs. If needed, RAN2 shall be consulted.</w:t>
      </w:r>
    </w:p>
    <w:p w14:paraId="483F8717" w14:textId="77777777" w:rsidR="00403B9B" w:rsidRPr="006A1EFD" w:rsidRDefault="00403B9B" w:rsidP="00403B9B">
      <w:pPr>
        <w:pStyle w:val="Heading1"/>
      </w:pPr>
      <w:r w:rsidRPr="006A1EFD">
        <w:t>References</w:t>
      </w:r>
    </w:p>
    <w:p w14:paraId="2AF1DCFA" w14:textId="08071B4A" w:rsidR="006A43F7" w:rsidRDefault="00C62265" w:rsidP="008A3464">
      <w:pPr>
        <w:numPr>
          <w:ilvl w:val="0"/>
          <w:numId w:val="4"/>
        </w:numPr>
        <w:overflowPunct w:val="0"/>
        <w:autoSpaceDE w:val="0"/>
        <w:autoSpaceDN w:val="0"/>
        <w:adjustRightInd w:val="0"/>
        <w:textAlignment w:val="baseline"/>
      </w:pPr>
      <w:r>
        <w:t>R3-204982, RAN3 #109</w:t>
      </w:r>
      <w:r w:rsidR="000C720B">
        <w:t>e</w:t>
      </w:r>
    </w:p>
    <w:p w14:paraId="3C19E295" w14:textId="3D372805" w:rsidR="009A66E5" w:rsidRDefault="009A66E5" w:rsidP="008A3464">
      <w:pPr>
        <w:numPr>
          <w:ilvl w:val="0"/>
          <w:numId w:val="4"/>
        </w:numPr>
        <w:overflowPunct w:val="0"/>
        <w:autoSpaceDE w:val="0"/>
        <w:autoSpaceDN w:val="0"/>
        <w:adjustRightInd w:val="0"/>
        <w:textAlignment w:val="baseline"/>
      </w:pPr>
      <w:r>
        <w:t>R3-204978, RAN3 #109</w:t>
      </w:r>
      <w:r w:rsidR="000C720B">
        <w:t>e</w:t>
      </w:r>
    </w:p>
    <w:p w14:paraId="7D462976" w14:textId="24571E6E" w:rsidR="009A66E5" w:rsidRDefault="009A66E5" w:rsidP="008A3464">
      <w:pPr>
        <w:numPr>
          <w:ilvl w:val="0"/>
          <w:numId w:val="4"/>
        </w:numPr>
        <w:overflowPunct w:val="0"/>
        <w:autoSpaceDE w:val="0"/>
        <w:autoSpaceDN w:val="0"/>
        <w:adjustRightInd w:val="0"/>
        <w:textAlignment w:val="baseline"/>
      </w:pPr>
      <w:r>
        <w:t>R3-205771, RAN3 #109</w:t>
      </w:r>
      <w:r w:rsidR="000C720B">
        <w:t>e</w:t>
      </w:r>
    </w:p>
    <w:p w14:paraId="56EE8599" w14:textId="4950303B" w:rsidR="009A66E5" w:rsidRDefault="009A66E5" w:rsidP="008A3464">
      <w:pPr>
        <w:numPr>
          <w:ilvl w:val="0"/>
          <w:numId w:val="4"/>
        </w:numPr>
        <w:overflowPunct w:val="0"/>
        <w:autoSpaceDE w:val="0"/>
        <w:autoSpaceDN w:val="0"/>
        <w:adjustRightInd w:val="0"/>
        <w:textAlignment w:val="baseline"/>
      </w:pPr>
      <w:r>
        <w:t>R3-205772, RAN3 #109</w:t>
      </w:r>
      <w:r w:rsidR="000C720B">
        <w:t>e</w:t>
      </w:r>
    </w:p>
    <w:p w14:paraId="4C5D6AE9" w14:textId="0C93B74C" w:rsidR="000C720B" w:rsidRDefault="000C720B" w:rsidP="008A3464">
      <w:pPr>
        <w:numPr>
          <w:ilvl w:val="0"/>
          <w:numId w:val="4"/>
        </w:numPr>
        <w:overflowPunct w:val="0"/>
        <w:autoSpaceDE w:val="0"/>
        <w:autoSpaceDN w:val="0"/>
        <w:adjustRightInd w:val="0"/>
        <w:textAlignment w:val="baseline"/>
      </w:pPr>
      <w:r>
        <w:lastRenderedPageBreak/>
        <w:t>R3-204981, RAN3 #109e</w:t>
      </w:r>
    </w:p>
    <w:p w14:paraId="19EB85B9" w14:textId="7E01DD29" w:rsidR="003B6E2B" w:rsidRDefault="003B6E2B" w:rsidP="008A3464">
      <w:pPr>
        <w:numPr>
          <w:ilvl w:val="0"/>
          <w:numId w:val="4"/>
        </w:numPr>
        <w:overflowPunct w:val="0"/>
        <w:autoSpaceDE w:val="0"/>
        <w:autoSpaceDN w:val="0"/>
        <w:adjustRightInd w:val="0"/>
        <w:textAlignment w:val="baseline"/>
      </w:pPr>
      <w:r>
        <w:t>R3-205955, RAN3 #110e</w:t>
      </w:r>
    </w:p>
    <w:p w14:paraId="288E609D" w14:textId="66BDCE40" w:rsidR="003B6E2B" w:rsidRDefault="003B6E2B" w:rsidP="008A3464">
      <w:pPr>
        <w:numPr>
          <w:ilvl w:val="0"/>
          <w:numId w:val="4"/>
        </w:numPr>
        <w:overflowPunct w:val="0"/>
        <w:autoSpaceDE w:val="0"/>
        <w:autoSpaceDN w:val="0"/>
        <w:adjustRightInd w:val="0"/>
        <w:textAlignment w:val="baseline"/>
      </w:pPr>
      <w:r>
        <w:t>R3-205956, RAN3 #110e</w:t>
      </w:r>
    </w:p>
    <w:p w14:paraId="1A9E5C25" w14:textId="3A196B60" w:rsidR="00C76BD2" w:rsidRDefault="00C76BD2" w:rsidP="008A3464">
      <w:pPr>
        <w:numPr>
          <w:ilvl w:val="0"/>
          <w:numId w:val="4"/>
        </w:numPr>
        <w:overflowPunct w:val="0"/>
        <w:autoSpaceDE w:val="0"/>
        <w:autoSpaceDN w:val="0"/>
        <w:adjustRightInd w:val="0"/>
        <w:textAlignment w:val="baseline"/>
      </w:pPr>
      <w:r>
        <w:t>R3-205953, RAN3 #110e</w:t>
      </w:r>
    </w:p>
    <w:p w14:paraId="7C390442" w14:textId="4B727FD7" w:rsidR="00C76BD2" w:rsidRPr="006A1EFD" w:rsidRDefault="00C76BD2" w:rsidP="008A3464">
      <w:pPr>
        <w:numPr>
          <w:ilvl w:val="0"/>
          <w:numId w:val="4"/>
        </w:numPr>
        <w:overflowPunct w:val="0"/>
        <w:autoSpaceDE w:val="0"/>
        <w:autoSpaceDN w:val="0"/>
        <w:adjustRightInd w:val="0"/>
        <w:textAlignment w:val="baseline"/>
      </w:pPr>
      <w:r>
        <w:t>R3-205954, RAN3 #110e</w:t>
      </w:r>
    </w:p>
    <w:p w14:paraId="01293442" w14:textId="77777777" w:rsidR="0022219E" w:rsidRPr="006A1EFD" w:rsidRDefault="0022219E" w:rsidP="0022219E">
      <w:pPr>
        <w:overflowPunct w:val="0"/>
        <w:autoSpaceDE w:val="0"/>
        <w:autoSpaceDN w:val="0"/>
        <w:adjustRightInd w:val="0"/>
        <w:textAlignment w:val="baseline"/>
      </w:pPr>
    </w:p>
    <w:sectPr w:rsidR="0022219E" w:rsidRPr="006A1E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2012D" w14:textId="77777777" w:rsidR="00541803" w:rsidRDefault="00541803">
      <w:r>
        <w:separator/>
      </w:r>
    </w:p>
  </w:endnote>
  <w:endnote w:type="continuationSeparator" w:id="0">
    <w:p w14:paraId="161F19D7" w14:textId="77777777" w:rsidR="00541803" w:rsidRDefault="00541803">
      <w:r>
        <w:continuationSeparator/>
      </w:r>
    </w:p>
  </w:endnote>
  <w:endnote w:type="continuationNotice" w:id="1">
    <w:p w14:paraId="2069E37A" w14:textId="77777777" w:rsidR="00541803" w:rsidRDefault="00541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D7990" w14:textId="77777777" w:rsidR="00541803" w:rsidRDefault="00541803">
      <w:r>
        <w:separator/>
      </w:r>
    </w:p>
  </w:footnote>
  <w:footnote w:type="continuationSeparator" w:id="0">
    <w:p w14:paraId="441E5F8C" w14:textId="77777777" w:rsidR="00541803" w:rsidRDefault="00541803">
      <w:r>
        <w:continuationSeparator/>
      </w:r>
    </w:p>
  </w:footnote>
  <w:footnote w:type="continuationNotice" w:id="1">
    <w:p w14:paraId="4466C564" w14:textId="77777777" w:rsidR="00541803" w:rsidRDefault="005418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2ECA43DC"/>
    <w:multiLevelType w:val="hybridMultilevel"/>
    <w:tmpl w:val="31FA9B9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D213ED5"/>
    <w:multiLevelType w:val="hybridMultilevel"/>
    <w:tmpl w:val="EBD83F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C423D0"/>
    <w:multiLevelType w:val="hybridMultilevel"/>
    <w:tmpl w:val="199E24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CB6460"/>
    <w:multiLevelType w:val="hybridMultilevel"/>
    <w:tmpl w:val="F21EEF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B3297C"/>
    <w:multiLevelType w:val="hybridMultilevel"/>
    <w:tmpl w:val="5C604B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31"/>
  </w:num>
  <w:num w:numId="3">
    <w:abstractNumId w:val="14"/>
  </w:num>
  <w:num w:numId="4">
    <w:abstractNumId w:val="9"/>
  </w:num>
  <w:num w:numId="5">
    <w:abstractNumId w:val="10"/>
  </w:num>
  <w:num w:numId="6">
    <w:abstractNumId w:val="41"/>
  </w:num>
  <w:num w:numId="7">
    <w:abstractNumId w:val="25"/>
  </w:num>
  <w:num w:numId="8">
    <w:abstractNumId w:val="15"/>
  </w:num>
  <w:num w:numId="9">
    <w:abstractNumId w:val="40"/>
  </w:num>
  <w:num w:numId="10">
    <w:abstractNumId w:val="24"/>
  </w:num>
  <w:num w:numId="11">
    <w:abstractNumId w:val="13"/>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6"/>
  </w:num>
  <w:num w:numId="27">
    <w:abstractNumId w:val="21"/>
  </w:num>
  <w:num w:numId="28">
    <w:abstractNumId w:val="38"/>
  </w:num>
  <w:num w:numId="29">
    <w:abstractNumId w:val="39"/>
  </w:num>
  <w:num w:numId="30">
    <w:abstractNumId w:val="26"/>
  </w:num>
  <w:num w:numId="31">
    <w:abstractNumId w:val="23"/>
  </w:num>
  <w:num w:numId="32">
    <w:abstractNumId w:val="18"/>
  </w:num>
  <w:num w:numId="33">
    <w:abstractNumId w:val="29"/>
  </w:num>
  <w:num w:numId="34">
    <w:abstractNumId w:val="12"/>
  </w:num>
  <w:num w:numId="35">
    <w:abstractNumId w:val="11"/>
  </w:num>
  <w:num w:numId="36">
    <w:abstractNumId w:val="37"/>
  </w:num>
  <w:num w:numId="37">
    <w:abstractNumId w:val="22"/>
  </w:num>
  <w:num w:numId="38">
    <w:abstractNumId w:val="17"/>
  </w:num>
  <w:num w:numId="39">
    <w:abstractNumId w:val="30"/>
  </w:num>
  <w:num w:numId="40">
    <w:abstractNumId w:val="36"/>
  </w:num>
  <w:num w:numId="41">
    <w:abstractNumId w:val="35"/>
  </w:num>
  <w:num w:numId="42">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C720B"/>
    <w:rsid w:val="000D458F"/>
    <w:rsid w:val="000D4960"/>
    <w:rsid w:val="000D4D03"/>
    <w:rsid w:val="000D58AB"/>
    <w:rsid w:val="000D7DAA"/>
    <w:rsid w:val="000E153B"/>
    <w:rsid w:val="000E3312"/>
    <w:rsid w:val="000E5662"/>
    <w:rsid w:val="000E5B70"/>
    <w:rsid w:val="000E72CB"/>
    <w:rsid w:val="000E7E52"/>
    <w:rsid w:val="000F04AF"/>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39F"/>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B6E2B"/>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308"/>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1803"/>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1EFD"/>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08E3"/>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5840"/>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27C3E"/>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0EB8"/>
    <w:rsid w:val="008B3641"/>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09E6"/>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66D27"/>
    <w:rsid w:val="0097184A"/>
    <w:rsid w:val="00971C47"/>
    <w:rsid w:val="009726C7"/>
    <w:rsid w:val="00972C97"/>
    <w:rsid w:val="00972E18"/>
    <w:rsid w:val="009735D6"/>
    <w:rsid w:val="00974BB0"/>
    <w:rsid w:val="009816B5"/>
    <w:rsid w:val="00984571"/>
    <w:rsid w:val="00985308"/>
    <w:rsid w:val="00985488"/>
    <w:rsid w:val="009876A5"/>
    <w:rsid w:val="0099180C"/>
    <w:rsid w:val="00993BBC"/>
    <w:rsid w:val="0099493E"/>
    <w:rsid w:val="00995169"/>
    <w:rsid w:val="00997D92"/>
    <w:rsid w:val="009A3390"/>
    <w:rsid w:val="009A3AC7"/>
    <w:rsid w:val="009A482D"/>
    <w:rsid w:val="009A4FD4"/>
    <w:rsid w:val="009A4FD9"/>
    <w:rsid w:val="009A5190"/>
    <w:rsid w:val="009A66E5"/>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E5B34"/>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A6DA7"/>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65"/>
    <w:rsid w:val="00C622CD"/>
    <w:rsid w:val="00C64FF9"/>
    <w:rsid w:val="00C66F3D"/>
    <w:rsid w:val="00C67D12"/>
    <w:rsid w:val="00C73EC3"/>
    <w:rsid w:val="00C7411C"/>
    <w:rsid w:val="00C74479"/>
    <w:rsid w:val="00C760C9"/>
    <w:rsid w:val="00C76BD2"/>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B75AD"/>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60C8"/>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2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10463194">
      <w:bodyDiv w:val="1"/>
      <w:marLeft w:val="0"/>
      <w:marRight w:val="0"/>
      <w:marTop w:val="0"/>
      <w:marBottom w:val="0"/>
      <w:divBdr>
        <w:top w:val="none" w:sz="0" w:space="0" w:color="auto"/>
        <w:left w:val="none" w:sz="0" w:space="0" w:color="auto"/>
        <w:bottom w:val="none" w:sz="0" w:space="0" w:color="auto"/>
        <w:right w:val="none" w:sz="0" w:space="0" w:color="auto"/>
      </w:divBdr>
      <w:divsChild>
        <w:div w:id="349988191">
          <w:marLeft w:val="0"/>
          <w:marRight w:val="0"/>
          <w:marTop w:val="0"/>
          <w:marBottom w:val="0"/>
          <w:divBdr>
            <w:top w:val="none" w:sz="0" w:space="0" w:color="auto"/>
            <w:left w:val="none" w:sz="0" w:space="0" w:color="auto"/>
            <w:bottom w:val="none" w:sz="0" w:space="0" w:color="auto"/>
            <w:right w:val="none" w:sz="0" w:space="0" w:color="auto"/>
          </w:divBdr>
        </w:div>
      </w:divsChild>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53350279">
      <w:bodyDiv w:val="1"/>
      <w:marLeft w:val="0"/>
      <w:marRight w:val="0"/>
      <w:marTop w:val="0"/>
      <w:marBottom w:val="0"/>
      <w:divBdr>
        <w:top w:val="none" w:sz="0" w:space="0" w:color="auto"/>
        <w:left w:val="none" w:sz="0" w:space="0" w:color="auto"/>
        <w:bottom w:val="none" w:sz="0" w:space="0" w:color="auto"/>
        <w:right w:val="none" w:sz="0" w:space="0" w:color="auto"/>
      </w:divBdr>
      <w:divsChild>
        <w:div w:id="778380034">
          <w:marLeft w:val="0"/>
          <w:marRight w:val="0"/>
          <w:marTop w:val="0"/>
          <w:marBottom w:val="0"/>
          <w:divBdr>
            <w:top w:val="none" w:sz="0" w:space="0" w:color="auto"/>
            <w:left w:val="none" w:sz="0" w:space="0" w:color="auto"/>
            <w:bottom w:val="none" w:sz="0" w:space="0" w:color="auto"/>
            <w:right w:val="none" w:sz="0" w:space="0" w:color="auto"/>
          </w:divBdr>
        </w:div>
        <w:div w:id="95948810">
          <w:marLeft w:val="0"/>
          <w:marRight w:val="0"/>
          <w:marTop w:val="0"/>
          <w:marBottom w:val="0"/>
          <w:divBdr>
            <w:top w:val="none" w:sz="0" w:space="0" w:color="auto"/>
            <w:left w:val="none" w:sz="0" w:space="0" w:color="auto"/>
            <w:bottom w:val="none" w:sz="0" w:space="0" w:color="auto"/>
            <w:right w:val="none" w:sz="0" w:space="0" w:color="auto"/>
          </w:divBdr>
        </w:div>
        <w:div w:id="1774666414">
          <w:marLeft w:val="0"/>
          <w:marRight w:val="0"/>
          <w:marTop w:val="0"/>
          <w:marBottom w:val="0"/>
          <w:divBdr>
            <w:top w:val="none" w:sz="0" w:space="0" w:color="auto"/>
            <w:left w:val="none" w:sz="0" w:space="0" w:color="auto"/>
            <w:bottom w:val="none" w:sz="0" w:space="0" w:color="auto"/>
            <w:right w:val="none" w:sz="0" w:space="0" w:color="auto"/>
          </w:divBdr>
        </w:div>
        <w:div w:id="993413561">
          <w:marLeft w:val="0"/>
          <w:marRight w:val="0"/>
          <w:marTop w:val="0"/>
          <w:marBottom w:val="0"/>
          <w:divBdr>
            <w:top w:val="none" w:sz="0" w:space="0" w:color="auto"/>
            <w:left w:val="none" w:sz="0" w:space="0" w:color="auto"/>
            <w:bottom w:val="none" w:sz="0" w:space="0" w:color="auto"/>
            <w:right w:val="none" w:sz="0" w:space="0" w:color="auto"/>
          </w:divBdr>
        </w:div>
        <w:div w:id="1743598650">
          <w:marLeft w:val="0"/>
          <w:marRight w:val="0"/>
          <w:marTop w:val="0"/>
          <w:marBottom w:val="0"/>
          <w:divBdr>
            <w:top w:val="none" w:sz="0" w:space="0" w:color="auto"/>
            <w:left w:val="none" w:sz="0" w:space="0" w:color="auto"/>
            <w:bottom w:val="none" w:sz="0" w:space="0" w:color="auto"/>
            <w:right w:val="none" w:sz="0" w:space="0" w:color="auto"/>
          </w:divBdr>
        </w:div>
        <w:div w:id="635066853">
          <w:marLeft w:val="0"/>
          <w:marRight w:val="0"/>
          <w:marTop w:val="0"/>
          <w:marBottom w:val="0"/>
          <w:divBdr>
            <w:top w:val="none" w:sz="0" w:space="0" w:color="auto"/>
            <w:left w:val="none" w:sz="0" w:space="0" w:color="auto"/>
            <w:bottom w:val="none" w:sz="0" w:space="0" w:color="auto"/>
            <w:right w:val="none" w:sz="0" w:space="0" w:color="auto"/>
          </w:divBdr>
        </w:div>
        <w:div w:id="1461801038">
          <w:marLeft w:val="0"/>
          <w:marRight w:val="0"/>
          <w:marTop w:val="0"/>
          <w:marBottom w:val="0"/>
          <w:divBdr>
            <w:top w:val="none" w:sz="0" w:space="0" w:color="auto"/>
            <w:left w:val="none" w:sz="0" w:space="0" w:color="auto"/>
            <w:bottom w:val="none" w:sz="0" w:space="0" w:color="auto"/>
            <w:right w:val="none" w:sz="0" w:space="0" w:color="auto"/>
          </w:divBdr>
        </w:div>
        <w:div w:id="1323703543">
          <w:marLeft w:val="0"/>
          <w:marRight w:val="0"/>
          <w:marTop w:val="0"/>
          <w:marBottom w:val="0"/>
          <w:divBdr>
            <w:top w:val="none" w:sz="0" w:space="0" w:color="auto"/>
            <w:left w:val="none" w:sz="0" w:space="0" w:color="auto"/>
            <w:bottom w:val="none" w:sz="0" w:space="0" w:color="auto"/>
            <w:right w:val="none" w:sz="0" w:space="0" w:color="auto"/>
          </w:divBdr>
        </w:div>
        <w:div w:id="1022433168">
          <w:marLeft w:val="0"/>
          <w:marRight w:val="0"/>
          <w:marTop w:val="0"/>
          <w:marBottom w:val="0"/>
          <w:divBdr>
            <w:top w:val="none" w:sz="0" w:space="0" w:color="auto"/>
            <w:left w:val="none" w:sz="0" w:space="0" w:color="auto"/>
            <w:bottom w:val="none" w:sz="0" w:space="0" w:color="auto"/>
            <w:right w:val="none" w:sz="0" w:space="0" w:color="auto"/>
          </w:divBdr>
        </w:div>
        <w:div w:id="229314633">
          <w:marLeft w:val="0"/>
          <w:marRight w:val="0"/>
          <w:marTop w:val="0"/>
          <w:marBottom w:val="0"/>
          <w:divBdr>
            <w:top w:val="none" w:sz="0" w:space="0" w:color="auto"/>
            <w:left w:val="none" w:sz="0" w:space="0" w:color="auto"/>
            <w:bottom w:val="none" w:sz="0" w:space="0" w:color="auto"/>
            <w:right w:val="none" w:sz="0" w:space="0" w:color="auto"/>
          </w:divBdr>
        </w:div>
        <w:div w:id="1556164464">
          <w:marLeft w:val="0"/>
          <w:marRight w:val="0"/>
          <w:marTop w:val="0"/>
          <w:marBottom w:val="0"/>
          <w:divBdr>
            <w:top w:val="none" w:sz="0" w:space="0" w:color="auto"/>
            <w:left w:val="none" w:sz="0" w:space="0" w:color="auto"/>
            <w:bottom w:val="none" w:sz="0" w:space="0" w:color="auto"/>
            <w:right w:val="none" w:sz="0" w:space="0" w:color="auto"/>
          </w:divBdr>
        </w:div>
        <w:div w:id="1702198314">
          <w:marLeft w:val="0"/>
          <w:marRight w:val="0"/>
          <w:marTop w:val="0"/>
          <w:marBottom w:val="0"/>
          <w:divBdr>
            <w:top w:val="none" w:sz="0" w:space="0" w:color="auto"/>
            <w:left w:val="none" w:sz="0" w:space="0" w:color="auto"/>
            <w:bottom w:val="none" w:sz="0" w:space="0" w:color="auto"/>
            <w:right w:val="none" w:sz="0" w:space="0" w:color="auto"/>
          </w:divBdr>
        </w:div>
        <w:div w:id="1923564913">
          <w:marLeft w:val="0"/>
          <w:marRight w:val="0"/>
          <w:marTop w:val="0"/>
          <w:marBottom w:val="0"/>
          <w:divBdr>
            <w:top w:val="none" w:sz="0" w:space="0" w:color="auto"/>
            <w:left w:val="none" w:sz="0" w:space="0" w:color="auto"/>
            <w:bottom w:val="none" w:sz="0" w:space="0" w:color="auto"/>
            <w:right w:val="none" w:sz="0" w:space="0" w:color="auto"/>
          </w:divBdr>
        </w:div>
        <w:div w:id="618032285">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89DF157E-279C-4EB3-B071-D6E70F55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403</TotalTime>
  <Pages>1</Pages>
  <Words>2055</Words>
  <Characters>12336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14363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Load information enhancements</dc:title>
  <dc:subject>3GPP RAN3 #110-e</dc:subject>
  <dc:creator>Benoist Sébire</dc:creator>
  <cp:keywords>&lt;keyword[, keyword, ]&gt;</cp:keywords>
  <dc:description/>
  <cp:lastModifiedBy>Nokia</cp:lastModifiedBy>
  <cp:revision>41</cp:revision>
  <cp:lastPrinted>2019-03-27T07:16:00Z</cp:lastPrinted>
  <dcterms:created xsi:type="dcterms:W3CDTF">2019-10-03T12:07:00Z</dcterms:created>
  <dcterms:modified xsi:type="dcterms:W3CDTF">2020-10-22T14:12:00Z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